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9E4" w:rsidRPr="00AA19E4" w:rsidRDefault="00AA19E4" w:rsidP="00AA19E4">
      <w:pPr>
        <w:spacing w:before="100" w:beforeAutospacing="1" w:after="100" w:afterAutospacing="1" w:line="240" w:lineRule="auto"/>
        <w:jc w:val="right"/>
        <w:outlineLvl w:val="3"/>
        <w:rPr>
          <w:rFonts w:ascii="Times New Roman" w:eastAsia="Times New Roman" w:hAnsi="Times New Roman" w:cs="Times New Roman"/>
          <w:b/>
          <w:bCs/>
          <w:sz w:val="24"/>
          <w:szCs w:val="24"/>
          <w:lang w:eastAsia="it-IT"/>
        </w:rPr>
      </w:pPr>
      <w:r w:rsidRPr="00AA19E4">
        <w:rPr>
          <w:rFonts w:ascii="Verdana" w:eastAsia="Times New Roman" w:hAnsi="Verdana" w:cs="Times New Roman"/>
          <w:b/>
          <w:bCs/>
          <w:color w:val="FF0000"/>
          <w:sz w:val="20"/>
          <w:szCs w:val="20"/>
          <w:lang w:eastAsia="it-IT"/>
        </w:rPr>
        <w:t xml:space="preserve">LA NUOVA LEGGE REGIONALE PIEMONTESE SULL’ASSISTENZA: </w:t>
      </w:r>
      <w:r w:rsidRPr="00AA19E4">
        <w:rPr>
          <w:rFonts w:ascii="Verdana" w:eastAsia="Times New Roman" w:hAnsi="Verdana" w:cs="Times New Roman"/>
          <w:b/>
          <w:bCs/>
          <w:color w:val="FF0000"/>
          <w:sz w:val="20"/>
          <w:szCs w:val="20"/>
          <w:lang w:eastAsia="it-IT"/>
        </w:rPr>
        <w:br/>
        <w:t>PRIME CONSIDERAZIONI</w:t>
      </w:r>
      <w:r w:rsidRPr="00AA19E4">
        <w:rPr>
          <w:rFonts w:ascii="Arial" w:eastAsia="Times New Roman" w:hAnsi="Arial" w:cs="Arial"/>
          <w:sz w:val="20"/>
          <w:szCs w:val="20"/>
          <w:lang w:eastAsia="it-IT"/>
        </w:rPr>
        <w:br/>
      </w:r>
      <w:r w:rsidRPr="00AA19E4">
        <w:rPr>
          <w:rFonts w:ascii="Arial" w:eastAsia="Times New Roman" w:hAnsi="Arial" w:cs="Arial"/>
          <w:sz w:val="20"/>
          <w:szCs w:val="20"/>
          <w:lang w:eastAsia="it-IT"/>
        </w:rPr>
        <w:br/>
      </w:r>
      <w:r w:rsidRPr="00AA19E4">
        <w:rPr>
          <w:rFonts w:ascii="Arial" w:eastAsia="Times New Roman" w:hAnsi="Arial" w:cs="Arial"/>
          <w:i/>
          <w:iCs/>
          <w:sz w:val="20"/>
          <w:szCs w:val="20"/>
          <w:lang w:eastAsia="it-IT"/>
        </w:rPr>
        <w:t>Giuseppe D’Angelo</w:t>
      </w:r>
    </w:p>
    <w:p w:rsidR="00AA19E4" w:rsidRPr="00AA19E4" w:rsidRDefault="00AA19E4" w:rsidP="00AA19E4">
      <w:pPr>
        <w:spacing w:before="100" w:beforeAutospacing="1" w:after="100" w:afterAutospacing="1" w:line="240" w:lineRule="auto"/>
        <w:ind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Regione Piemonte ha varato la legge 8 gennaio 2004 n. 1, che porta il titolo “Norme per la realizzazione del sistema regionale integrato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 xml:space="preserve">interventi e servizi sociali e riordino della legislazione di riferimento”, pubblicata sul </w:t>
      </w:r>
      <w:r w:rsidRPr="00AA19E4">
        <w:rPr>
          <w:rFonts w:ascii="Verdana" w:eastAsia="Times New Roman" w:hAnsi="Verdana" w:cs="Times New Roman"/>
          <w:i/>
          <w:iCs/>
          <w:color w:val="000080"/>
          <w:sz w:val="18"/>
          <w:szCs w:val="18"/>
          <w:lang w:eastAsia="it-IT"/>
        </w:rPr>
        <w:t>Bollettino ufficiale</w:t>
      </w:r>
      <w:r w:rsidRPr="00AA19E4">
        <w:rPr>
          <w:rFonts w:ascii="Verdana" w:eastAsia="Times New Roman" w:hAnsi="Verdana" w:cs="Times New Roman"/>
          <w:color w:val="000080"/>
          <w:sz w:val="18"/>
          <w:szCs w:val="18"/>
          <w:lang w:eastAsia="it-IT"/>
        </w:rPr>
        <w:t xml:space="preserve"> n. 2 del 15 gennaio 2004. </w:t>
      </w:r>
    </w:p>
    <w:p w:rsidR="00AA19E4" w:rsidRPr="00AA19E4" w:rsidRDefault="00AA19E4" w:rsidP="00AA19E4">
      <w:pPr>
        <w:spacing w:before="100" w:beforeAutospacing="1" w:after="100" w:afterAutospacing="1" w:line="240" w:lineRule="auto"/>
        <w:ind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In altri termini, si tratta del recepimento della legge nazionale 328/2000 sulla riforma dell’assistenza e dei servizi sociali.</w:t>
      </w:r>
    </w:p>
    <w:p w:rsidR="00AA19E4" w:rsidRPr="00AA19E4" w:rsidRDefault="00AA19E4" w:rsidP="00AA19E4">
      <w:pPr>
        <w:spacing w:before="100" w:beforeAutospacing="1" w:after="100" w:afterAutospacing="1" w:line="240" w:lineRule="auto"/>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0" w:name="_Toc69616179"/>
      <w:r w:rsidRPr="00AA19E4">
        <w:rPr>
          <w:rFonts w:ascii="Verdana" w:eastAsia="Times New Roman" w:hAnsi="Verdana" w:cs="Times New Roman"/>
          <w:b/>
          <w:bCs/>
          <w:sz w:val="18"/>
          <w:szCs w:val="18"/>
          <w:lang w:eastAsia="it-IT"/>
        </w:rPr>
        <w:t>Punti essenziali</w:t>
      </w:r>
      <w:bookmarkEnd w:id="0"/>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Tra i lati </w:t>
      </w:r>
      <w:r w:rsidRPr="00AA19E4">
        <w:rPr>
          <w:rFonts w:ascii="Verdana" w:eastAsia="Times New Roman" w:hAnsi="Verdana" w:cs="Times New Roman"/>
          <w:color w:val="000080"/>
          <w:sz w:val="18"/>
          <w:lang w:eastAsia="it-IT"/>
        </w:rPr>
        <w:t>positivi</w:t>
      </w:r>
      <w:r w:rsidRPr="00AA19E4">
        <w:rPr>
          <w:rFonts w:ascii="Verdana" w:eastAsia="Times New Roman" w:hAnsi="Verdana" w:cs="Times New Roman"/>
          <w:color w:val="000080"/>
          <w:sz w:val="18"/>
          <w:szCs w:val="18"/>
          <w:lang w:eastAsia="it-IT"/>
        </w:rPr>
        <w:t xml:space="preserve"> della nuova legge regionale evidenziamo il riconoscimento di diritti esigibili per alcuni soggetti in estreme condizioni di bisogno, anche se resta da accertare se essi verranno rispettati dalle istituzioni al momento in cui verranno richieste le prestazioni. </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 ciò aggiungiamo il trasferimento ai Comuni di tutte le attività </w:t>
      </w:r>
      <w:r w:rsidRPr="00AA19E4">
        <w:rPr>
          <w:rFonts w:ascii="Verdana" w:eastAsia="Times New Roman" w:hAnsi="Verdana" w:cs="Times New Roman"/>
          <w:color w:val="000080"/>
          <w:sz w:val="18"/>
          <w:lang w:eastAsia="it-IT"/>
        </w:rPr>
        <w:t>assistenziali</w:t>
      </w:r>
      <w:r w:rsidRPr="00AA19E4">
        <w:rPr>
          <w:rFonts w:ascii="Verdana" w:eastAsia="Times New Roman" w:hAnsi="Verdana" w:cs="Times New Roman"/>
          <w:color w:val="000080"/>
          <w:sz w:val="18"/>
          <w:szCs w:val="18"/>
          <w:lang w:eastAsia="it-IT"/>
        </w:rPr>
        <w:t xml:space="preserve"> ancora in capo alle Province.</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Dall’altro versante </w:t>
      </w:r>
      <w:r w:rsidRPr="00AA19E4">
        <w:rPr>
          <w:rFonts w:ascii="Verdana" w:eastAsia="Times New Roman" w:hAnsi="Verdana" w:cs="Times New Roman"/>
          <w:color w:val="000080"/>
          <w:sz w:val="18"/>
          <w:lang w:eastAsia="it-IT"/>
        </w:rPr>
        <w:t>constatiamo</w:t>
      </w:r>
      <w:r w:rsidRPr="00AA19E4">
        <w:rPr>
          <w:rFonts w:ascii="Verdana" w:eastAsia="Times New Roman" w:hAnsi="Verdana" w:cs="Times New Roman"/>
          <w:color w:val="000080"/>
          <w:sz w:val="18"/>
          <w:szCs w:val="18"/>
          <w:lang w:eastAsia="it-IT"/>
        </w:rPr>
        <w:t xml:space="preserve"> principalmente l’assenza di un’impostazione volta alla prevenzione primaria dell’emarginazione sociale e dello stato di bisogno, assieme alla mancanza di disposizioni per il reale superamento dell’istituzionalizzazione delle persone deboli.</w:t>
      </w:r>
    </w:p>
    <w:p w:rsidR="00AA19E4" w:rsidRPr="00AA19E4" w:rsidRDefault="00AA19E4" w:rsidP="00AA19E4">
      <w:pPr>
        <w:spacing w:before="100" w:beforeAutospacing="1" w:after="100" w:afterAutospacing="1" w:line="240" w:lineRule="auto"/>
        <w:ind w:right="2076" w:firstLine="1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1" w:name="_Toc69616180"/>
      <w:r w:rsidRPr="00AA19E4">
        <w:rPr>
          <w:rFonts w:ascii="Verdana" w:eastAsia="Times New Roman" w:hAnsi="Verdana" w:cs="Times New Roman"/>
          <w:b/>
          <w:bCs/>
          <w:sz w:val="18"/>
          <w:szCs w:val="18"/>
          <w:lang w:eastAsia="it-IT"/>
        </w:rPr>
        <w:t>Ignorata la prevenzione</w:t>
      </w:r>
      <w:bookmarkEnd w:id="1"/>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Diciamo subito che nel recepire l’impostazione della legge 328/2000 (</w:t>
      </w:r>
      <w:r w:rsidRPr="00AA19E4">
        <w:rPr>
          <w:rFonts w:ascii="Verdana" w:eastAsia="Times New Roman" w:hAnsi="Verdana" w:cs="Times New Roman"/>
          <w:color w:val="000080"/>
          <w:sz w:val="18"/>
          <w:lang w:eastAsia="it-IT"/>
        </w:rPr>
        <w:t>nonché</w:t>
      </w:r>
      <w:r w:rsidRPr="00AA19E4">
        <w:rPr>
          <w:rFonts w:ascii="Verdana" w:eastAsia="Times New Roman" w:hAnsi="Verdana" w:cs="Times New Roman"/>
          <w:color w:val="000080"/>
          <w:sz w:val="18"/>
          <w:szCs w:val="18"/>
          <w:lang w:eastAsia="it-IT"/>
        </w:rPr>
        <w:t xml:space="preserve"> prevedendo anche il riordino delle leggi regionali in materia), la legge piemontese sull’assistenza si appropria di un difetto di fondo della 328/2000, confinando ad una funzione secondaria il ruolo della prevenzione dell’emarginazione sociale.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Infatti, rispetto alla precedente legge di riferimento piemontese sull’assistenza, e </w:t>
      </w:r>
      <w:r w:rsidRPr="00AA19E4">
        <w:rPr>
          <w:rFonts w:ascii="Verdana" w:eastAsia="Times New Roman" w:hAnsi="Verdana" w:cs="Times New Roman"/>
          <w:color w:val="000080"/>
          <w:sz w:val="18"/>
          <w:lang w:eastAsia="it-IT"/>
        </w:rPr>
        <w:t>cioè</w:t>
      </w:r>
      <w:r w:rsidRPr="00AA19E4">
        <w:rPr>
          <w:rFonts w:ascii="Verdana" w:eastAsia="Times New Roman" w:hAnsi="Verdana" w:cs="Times New Roman"/>
          <w:color w:val="000080"/>
          <w:sz w:val="18"/>
          <w:szCs w:val="18"/>
          <w:lang w:eastAsia="it-IT"/>
        </w:rPr>
        <w:t xml:space="preserve"> la legge n. 62/1995 (ora abrogata a seguito dell’entrata in vigore della nuova normativa), la legge regionale n. 1/2004 non considera nel suo impianto una reale attività di prevenzione dell’emarginazione.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Tale attività, ricordiamo, consiste nell’operare innanzitutto affinché ogni settore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interesse sociale, che si rivolge cioè a tutti i cittadini, sia predisposto in modo da intervenire anche nei riguardi dei soggetti deboli.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precedente normativa regionale, difatti, riportava alcune indicazioni utili al fine di prevedere il pieno soddisfacimento delle esigenze comuni a </w:t>
      </w:r>
      <w:r w:rsidRPr="00AA19E4">
        <w:rPr>
          <w:rFonts w:ascii="Verdana" w:eastAsia="Times New Roman" w:hAnsi="Verdana" w:cs="Times New Roman"/>
          <w:i/>
          <w:iCs/>
          <w:color w:val="000080"/>
          <w:sz w:val="18"/>
          <w:szCs w:val="18"/>
          <w:lang w:eastAsia="it-IT"/>
        </w:rPr>
        <w:t xml:space="preserve">tutta </w:t>
      </w:r>
      <w:r w:rsidRPr="00AA19E4">
        <w:rPr>
          <w:rFonts w:ascii="Verdana" w:eastAsia="Times New Roman" w:hAnsi="Verdana" w:cs="Times New Roman"/>
          <w:color w:val="000080"/>
          <w:sz w:val="18"/>
          <w:szCs w:val="18"/>
          <w:lang w:eastAsia="it-IT"/>
        </w:rPr>
        <w:t xml:space="preserve">la popolazione.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Si trattava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 xml:space="preserve">aspetti relativi alle esigenze di tipo socio-relazionale e di natura abitativa, nonché della promozione dell'inserimento lavorativo e dell’abolizione delle barriere architettoniche.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Sono quindi aspetti essenziali per la concreta integrazione sociale dei soggetti deboli e quindi per la reale prevenzione dell’emarginazione sociale.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Appare chiaro che, soddisfacendo </w:t>
      </w:r>
      <w:r w:rsidRPr="00AA19E4">
        <w:rPr>
          <w:rFonts w:ascii="Verdana" w:eastAsia="Times New Roman" w:hAnsi="Verdana" w:cs="Times New Roman"/>
          <w:i/>
          <w:iCs/>
          <w:color w:val="000080"/>
          <w:sz w:val="18"/>
          <w:szCs w:val="18"/>
          <w:lang w:eastAsia="it-IT"/>
        </w:rPr>
        <w:t>anche</w:t>
      </w:r>
      <w:r w:rsidRPr="00AA19E4">
        <w:rPr>
          <w:rFonts w:ascii="Verdana" w:eastAsia="Times New Roman" w:hAnsi="Verdana" w:cs="Times New Roman"/>
          <w:color w:val="000080"/>
          <w:sz w:val="18"/>
          <w:szCs w:val="18"/>
          <w:lang w:eastAsia="it-IT"/>
        </w:rPr>
        <w:t xml:space="preserve"> per le fasce più deboli le esigenze comuni a tutti i cittadini (</w:t>
      </w:r>
      <w:r w:rsidRPr="00AA19E4">
        <w:rPr>
          <w:rFonts w:ascii="Verdana" w:eastAsia="Times New Roman" w:hAnsi="Verdana" w:cs="Times New Roman"/>
          <w:color w:val="000080"/>
          <w:sz w:val="18"/>
          <w:lang w:eastAsia="it-IT"/>
        </w:rPr>
        <w:t>ovverossia</w:t>
      </w:r>
      <w:r w:rsidRPr="00AA19E4">
        <w:rPr>
          <w:rFonts w:ascii="Verdana" w:eastAsia="Times New Roman" w:hAnsi="Verdana" w:cs="Times New Roman"/>
          <w:color w:val="000080"/>
          <w:sz w:val="18"/>
          <w:szCs w:val="18"/>
          <w:lang w:eastAsia="it-IT"/>
        </w:rPr>
        <w:t xml:space="preserve"> le prestazioni </w:t>
      </w:r>
      <w:r w:rsidRPr="00AA19E4">
        <w:rPr>
          <w:rFonts w:ascii="Verdana" w:eastAsia="Times New Roman" w:hAnsi="Verdana" w:cs="Times New Roman"/>
          <w:color w:val="000080"/>
          <w:sz w:val="18"/>
          <w:lang w:eastAsia="it-IT"/>
        </w:rPr>
        <w:t>concernenti la</w:t>
      </w:r>
      <w:r w:rsidRPr="00AA19E4">
        <w:rPr>
          <w:rFonts w:ascii="Verdana" w:eastAsia="Times New Roman" w:hAnsi="Verdana" w:cs="Times New Roman"/>
          <w:color w:val="000080"/>
          <w:sz w:val="18"/>
          <w:szCs w:val="18"/>
          <w:lang w:eastAsia="it-IT"/>
        </w:rPr>
        <w:t xml:space="preserve"> sanità, l’istruzione, la casa, i trasporti, ecc., nonché il lavoro ai soggetti con handicap aventi adeguate capacità lavorative), si riducono i potenziali “clienti” dell’assistenza.</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È unicamente alle persone che non sono in grado di inserirsi autonomamente nella società beneficiando degli interventi rivolti a </w:t>
      </w:r>
      <w:r w:rsidRPr="00AA19E4">
        <w:rPr>
          <w:rFonts w:ascii="Verdana" w:eastAsia="Times New Roman" w:hAnsi="Verdana" w:cs="Times New Roman"/>
          <w:i/>
          <w:iCs/>
          <w:color w:val="000080"/>
          <w:sz w:val="18"/>
          <w:szCs w:val="18"/>
          <w:lang w:eastAsia="it-IT"/>
        </w:rPr>
        <w:t>tutti</w:t>
      </w:r>
      <w:r w:rsidRPr="00AA19E4">
        <w:rPr>
          <w:rFonts w:ascii="Verdana" w:eastAsia="Times New Roman" w:hAnsi="Verdana" w:cs="Times New Roman"/>
          <w:color w:val="000080"/>
          <w:sz w:val="18"/>
          <w:szCs w:val="18"/>
          <w:lang w:eastAsia="it-IT"/>
        </w:rPr>
        <w:t xml:space="preserve"> appena sopra indicati (minori in situazione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 xml:space="preserve">abbandono, </w:t>
      </w:r>
      <w:r w:rsidRPr="00AA19E4">
        <w:rPr>
          <w:rFonts w:ascii="Verdana" w:eastAsia="Times New Roman" w:hAnsi="Verdana" w:cs="Times New Roman"/>
          <w:color w:val="000080"/>
          <w:sz w:val="18"/>
          <w:szCs w:val="18"/>
          <w:lang w:eastAsia="it-IT"/>
        </w:rPr>
        <w:lastRenderedPageBreak/>
        <w:t xml:space="preserve">persone con handicap intellettivo con limitata o nulla autonomia, ecc.) che devono essere garantiti gli interventi </w:t>
      </w:r>
      <w:r w:rsidRPr="00AA19E4">
        <w:rPr>
          <w:rFonts w:ascii="Verdana" w:eastAsia="Times New Roman" w:hAnsi="Verdana" w:cs="Times New Roman"/>
          <w:i/>
          <w:iCs/>
          <w:color w:val="000080"/>
          <w:sz w:val="18"/>
          <w:szCs w:val="18"/>
          <w:lang w:eastAsia="it-IT"/>
        </w:rPr>
        <w:t>aggiuntivi</w:t>
      </w:r>
      <w:r w:rsidRPr="00AA19E4">
        <w:rPr>
          <w:rFonts w:ascii="Verdana" w:eastAsia="Times New Roman" w:hAnsi="Verdana" w:cs="Times New Roman"/>
          <w:color w:val="000080"/>
          <w:sz w:val="18"/>
          <w:szCs w:val="18"/>
          <w:lang w:eastAsia="it-IT"/>
        </w:rPr>
        <w:t xml:space="preserve"> dell’assistenza sociale (affidamenti e inserimenti presso famiglie e persone, centri diurni per soggetti con menomazioni cognitive così gravi da determinare una autonomia molto limitata o nulla, comunità alloggio, ecc.).</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Ricordiamo che, </w:t>
      </w:r>
      <w:r w:rsidRPr="00AA19E4">
        <w:rPr>
          <w:rFonts w:ascii="Verdana" w:eastAsia="Times New Roman" w:hAnsi="Verdana" w:cs="Times New Roman"/>
          <w:color w:val="000080"/>
          <w:sz w:val="18"/>
          <w:lang w:eastAsia="it-IT"/>
        </w:rPr>
        <w:t>come è</w:t>
      </w:r>
      <w:r w:rsidRPr="00AA19E4">
        <w:rPr>
          <w:rFonts w:ascii="Verdana" w:eastAsia="Times New Roman" w:hAnsi="Verdana" w:cs="Times New Roman"/>
          <w:color w:val="000080"/>
          <w:sz w:val="18"/>
          <w:szCs w:val="18"/>
          <w:lang w:eastAsia="it-IT"/>
        </w:rPr>
        <w:t xml:space="preserve"> stato precisato nel volume “La riforma dell’assistenza e dei servizi sociali” di M. G. Breda, D. </w:t>
      </w:r>
      <w:proofErr w:type="spellStart"/>
      <w:r w:rsidRPr="00AA19E4">
        <w:rPr>
          <w:rFonts w:ascii="Verdana" w:eastAsia="Times New Roman" w:hAnsi="Verdana" w:cs="Times New Roman"/>
          <w:color w:val="000080"/>
          <w:sz w:val="18"/>
          <w:szCs w:val="18"/>
          <w:lang w:eastAsia="it-IT"/>
        </w:rPr>
        <w:t>Micucci</w:t>
      </w:r>
      <w:proofErr w:type="spellEnd"/>
      <w:r w:rsidRPr="00AA19E4">
        <w:rPr>
          <w:rFonts w:ascii="Verdana" w:eastAsia="Times New Roman" w:hAnsi="Verdana" w:cs="Times New Roman"/>
          <w:color w:val="000080"/>
          <w:sz w:val="18"/>
          <w:szCs w:val="18"/>
          <w:lang w:eastAsia="it-IT"/>
        </w:rPr>
        <w:t xml:space="preserve"> e F. </w:t>
      </w:r>
      <w:proofErr w:type="spellStart"/>
      <w:r w:rsidRPr="00AA19E4">
        <w:rPr>
          <w:rFonts w:ascii="Verdana" w:eastAsia="Times New Roman" w:hAnsi="Verdana" w:cs="Times New Roman"/>
          <w:color w:val="000080"/>
          <w:sz w:val="18"/>
          <w:szCs w:val="18"/>
          <w:lang w:eastAsia="it-IT"/>
        </w:rPr>
        <w:t>Santanera</w:t>
      </w:r>
      <w:proofErr w:type="spellEnd"/>
      <w:r w:rsidRPr="00AA19E4">
        <w:rPr>
          <w:rFonts w:ascii="Verdana" w:eastAsia="Times New Roman" w:hAnsi="Verdana" w:cs="Times New Roman"/>
          <w:color w:val="000080"/>
          <w:sz w:val="18"/>
          <w:szCs w:val="18"/>
          <w:lang w:eastAsia="it-IT"/>
        </w:rPr>
        <w:t xml:space="preserve"> </w:t>
      </w:r>
      <w:r w:rsidRPr="00AA19E4">
        <w:rPr>
          <w:rFonts w:ascii="Verdana" w:eastAsia="Times New Roman" w:hAnsi="Verdana" w:cs="Times New Roman"/>
          <w:i/>
          <w:iCs/>
          <w:color w:val="000080"/>
          <w:sz w:val="18"/>
          <w:szCs w:val="18"/>
          <w:lang w:eastAsia="it-IT"/>
        </w:rPr>
        <w:t>«la vera prevenzione del disagio, dell’emarginazione sociale e dell’esclusione sociale non può, salvo casi rarissimi, essere svolta dai settori dell’assistenza e dei servizi sociali»</w:t>
      </w:r>
      <w:r w:rsidRPr="00AA19E4">
        <w:rPr>
          <w:rFonts w:ascii="Verdana" w:eastAsia="Times New Roman" w:hAnsi="Verdana" w:cs="Times New Roman"/>
          <w:color w:val="000080"/>
          <w:sz w:val="18"/>
          <w:szCs w:val="18"/>
          <w:lang w:eastAsia="it-IT"/>
        </w:rPr>
        <w:t xml:space="preserve">; tali settori difatti </w:t>
      </w:r>
      <w:r w:rsidRPr="00AA19E4">
        <w:rPr>
          <w:rFonts w:ascii="Verdana" w:eastAsia="Times New Roman" w:hAnsi="Verdana" w:cs="Times New Roman"/>
          <w:i/>
          <w:iCs/>
          <w:color w:val="000080"/>
          <w:sz w:val="18"/>
          <w:szCs w:val="18"/>
          <w:lang w:eastAsia="it-IT"/>
        </w:rPr>
        <w:t>«non hanno né strumenti né personale in grado di operare a livello di profilassi, di curare persone malate, di riabilitare i soggetti infortunati, di predisporre le strutture abitative, di provvedere all’istruzione dell’obbligo e superiore, di garantire i trasporti, ecc.</w:t>
      </w:r>
      <w:r w:rsidRPr="00AA19E4">
        <w:rPr>
          <w:rFonts w:ascii="Verdana" w:eastAsia="Times New Roman" w:hAnsi="Verdana" w:cs="Times New Roman"/>
          <w:color w:val="000080"/>
          <w:sz w:val="18"/>
          <w:szCs w:val="18"/>
          <w:lang w:eastAsia="it-IT"/>
        </w:rPr>
        <w:t xml:space="preserve"> </w:t>
      </w:r>
      <w:r w:rsidRPr="00AA19E4">
        <w:rPr>
          <w:rFonts w:ascii="Verdana" w:eastAsia="Times New Roman" w:hAnsi="Verdana" w:cs="Times New Roman"/>
          <w:i/>
          <w:iCs/>
          <w:color w:val="000080"/>
          <w:sz w:val="18"/>
          <w:szCs w:val="18"/>
          <w:lang w:eastAsia="it-IT"/>
        </w:rPr>
        <w:t>».</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Tale approccio, peraltro, si ricava da </w:t>
      </w:r>
      <w:r w:rsidRPr="00AA19E4">
        <w:rPr>
          <w:rFonts w:ascii="Verdana" w:eastAsia="Times New Roman" w:hAnsi="Verdana" w:cs="Times New Roman"/>
          <w:color w:val="000080"/>
          <w:sz w:val="18"/>
          <w:lang w:eastAsia="it-IT"/>
        </w:rPr>
        <w:t xml:space="preserve">una </w:t>
      </w:r>
      <w:r w:rsidRPr="00AA19E4">
        <w:rPr>
          <w:rFonts w:ascii="Verdana" w:eastAsia="Times New Roman" w:hAnsi="Verdana" w:cs="Times New Roman"/>
          <w:color w:val="000080"/>
          <w:sz w:val="18"/>
          <w:szCs w:val="18"/>
          <w:lang w:eastAsia="it-IT"/>
        </w:rPr>
        <w:t xml:space="preserve">imparziale attuazione del dettato costituzionale e dei relativi diritti rivolti esplicitamente a </w:t>
      </w:r>
      <w:r w:rsidRPr="00AA19E4">
        <w:rPr>
          <w:rFonts w:ascii="Verdana" w:eastAsia="Times New Roman" w:hAnsi="Verdana" w:cs="Times New Roman"/>
          <w:i/>
          <w:iCs/>
          <w:color w:val="000080"/>
          <w:sz w:val="18"/>
          <w:szCs w:val="18"/>
          <w:lang w:eastAsia="it-IT"/>
        </w:rPr>
        <w:t xml:space="preserve">tutti </w:t>
      </w:r>
      <w:r w:rsidRPr="00AA19E4">
        <w:rPr>
          <w:rFonts w:ascii="Verdana" w:eastAsia="Times New Roman" w:hAnsi="Verdana" w:cs="Times New Roman"/>
          <w:color w:val="000080"/>
          <w:sz w:val="18"/>
          <w:szCs w:val="18"/>
          <w:lang w:eastAsia="it-IT"/>
        </w:rPr>
        <w:t xml:space="preserve">i cittadini (citiamo, per esempio, la pari dignità sociale dei cittadini, il diritto al lavoro, il diritto all’istruzione, il diritto alla libera circolazione, il diritto alla tutela della salute, ecc.).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Il diritto all’assistenza si aggiunge agli altri ed è rivolto giustamente </w:t>
      </w:r>
      <w:r w:rsidRPr="00AA19E4">
        <w:rPr>
          <w:rFonts w:ascii="Verdana" w:eastAsia="Times New Roman" w:hAnsi="Verdana" w:cs="Times New Roman"/>
          <w:i/>
          <w:iCs/>
          <w:color w:val="000080"/>
          <w:sz w:val="18"/>
          <w:szCs w:val="18"/>
          <w:lang w:eastAsia="it-IT"/>
        </w:rPr>
        <w:t>solo</w:t>
      </w:r>
      <w:r w:rsidRPr="00AA19E4">
        <w:rPr>
          <w:rFonts w:ascii="Verdana" w:eastAsia="Times New Roman" w:hAnsi="Verdana" w:cs="Times New Roman"/>
          <w:color w:val="000080"/>
          <w:sz w:val="18"/>
          <w:szCs w:val="18"/>
          <w:lang w:eastAsia="it-IT"/>
        </w:rPr>
        <w:t xml:space="preserve"> agli inabili al lavoro. L’indirizzo or ora </w:t>
      </w:r>
      <w:r w:rsidRPr="00AA19E4">
        <w:rPr>
          <w:rFonts w:ascii="Verdana" w:eastAsia="Times New Roman" w:hAnsi="Verdana" w:cs="Times New Roman"/>
          <w:color w:val="000080"/>
          <w:sz w:val="18"/>
          <w:lang w:eastAsia="it-IT"/>
        </w:rPr>
        <w:t>messo in evidenza</w:t>
      </w:r>
      <w:r w:rsidRPr="00AA19E4">
        <w:rPr>
          <w:rFonts w:ascii="Verdana" w:eastAsia="Times New Roman" w:hAnsi="Verdana" w:cs="Times New Roman"/>
          <w:color w:val="000080"/>
          <w:sz w:val="18"/>
          <w:szCs w:val="18"/>
          <w:lang w:eastAsia="it-IT"/>
        </w:rPr>
        <w:t xml:space="preserve"> è stato ignorato dalla legge nazionale 328/2000 ed è dimenticato dalla legge regionale 1/2004. </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prevenzione, secondo la nuova legge piemontese, è in sostanza prevista solamente mediante l’attivazione di strumenti volti all’osservazione ed al monitoraggio del disagio delle varie fasce della popolazione interessata, alla raccolta e all’elaborazione dei dati sui bisogni, </w:t>
      </w:r>
      <w:r w:rsidRPr="00AA19E4">
        <w:rPr>
          <w:rFonts w:ascii="Verdana" w:eastAsia="Times New Roman" w:hAnsi="Verdana" w:cs="Times New Roman"/>
          <w:color w:val="000080"/>
          <w:sz w:val="18"/>
          <w:lang w:eastAsia="it-IT"/>
        </w:rPr>
        <w:t>nonché</w:t>
      </w:r>
      <w:r w:rsidRPr="00AA19E4">
        <w:rPr>
          <w:rFonts w:ascii="Verdana" w:eastAsia="Times New Roman" w:hAnsi="Verdana" w:cs="Times New Roman"/>
          <w:color w:val="000080"/>
          <w:sz w:val="18"/>
          <w:szCs w:val="18"/>
          <w:lang w:eastAsia="it-IT"/>
        </w:rPr>
        <w:t xml:space="preserve"> all’informazione verso la cittadinanza in merito alla predisposizione di servizi, alle relative modalità di accesso.</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Si tratta, pertanto, di una “prevenzione” (se così </w:t>
      </w:r>
      <w:r w:rsidRPr="00AA19E4">
        <w:rPr>
          <w:rFonts w:ascii="Verdana" w:eastAsia="Times New Roman" w:hAnsi="Verdana" w:cs="Times New Roman"/>
          <w:color w:val="000080"/>
          <w:sz w:val="18"/>
          <w:lang w:eastAsia="it-IT"/>
        </w:rPr>
        <w:t>la si</w:t>
      </w:r>
      <w:r w:rsidRPr="00AA19E4">
        <w:rPr>
          <w:rFonts w:ascii="Verdana" w:eastAsia="Times New Roman" w:hAnsi="Verdana" w:cs="Times New Roman"/>
          <w:color w:val="000080"/>
          <w:sz w:val="18"/>
          <w:szCs w:val="18"/>
          <w:lang w:eastAsia="it-IT"/>
        </w:rPr>
        <w:t xml:space="preserve"> può ancora chiamare) di tipo secondario, posta oramai “a valle” dello sviluppo del processo di emarginazione o di esclusione sociale.</w:t>
      </w:r>
    </w:p>
    <w:p w:rsidR="00AA19E4" w:rsidRPr="00AA19E4" w:rsidRDefault="00AA19E4" w:rsidP="00AA19E4">
      <w:pPr>
        <w:spacing w:before="100" w:beforeAutospacing="1" w:after="100" w:afterAutospacing="1" w:line="240" w:lineRule="auto"/>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2" w:name="_Toc69616181"/>
      <w:r w:rsidRPr="00AA19E4">
        <w:rPr>
          <w:rFonts w:ascii="Verdana" w:eastAsia="Times New Roman" w:hAnsi="Verdana" w:cs="Times New Roman"/>
          <w:b/>
          <w:bCs/>
          <w:sz w:val="18"/>
          <w:szCs w:val="18"/>
          <w:lang w:eastAsia="it-IT"/>
        </w:rPr>
        <w:t>L’integrazione dei servizi</w:t>
      </w:r>
      <w:bookmarkEnd w:id="2"/>
    </w:p>
    <w:p w:rsidR="00AA19E4" w:rsidRPr="00AA19E4" w:rsidRDefault="00AA19E4" w:rsidP="00AA19E4">
      <w:pPr>
        <w:spacing w:before="100" w:beforeAutospacing="1" w:after="100" w:afterAutospacing="1" w:line="240" w:lineRule="auto"/>
        <w:ind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Per tutto ciò la nuova legge regionale, nel considerare un’ampia serie di bisogni </w:t>
      </w:r>
      <w:r w:rsidRPr="00AA19E4">
        <w:rPr>
          <w:rFonts w:ascii="Verdana" w:eastAsia="Times New Roman" w:hAnsi="Verdana" w:cs="Times New Roman"/>
          <w:color w:val="000080"/>
          <w:sz w:val="18"/>
          <w:lang w:eastAsia="it-IT"/>
        </w:rPr>
        <w:t>nonché</w:t>
      </w:r>
      <w:r w:rsidRPr="00AA19E4">
        <w:rPr>
          <w:rFonts w:ascii="Verdana" w:eastAsia="Times New Roman" w:hAnsi="Verdana" w:cs="Times New Roman"/>
          <w:color w:val="000080"/>
          <w:sz w:val="18"/>
          <w:szCs w:val="18"/>
          <w:lang w:eastAsia="it-IT"/>
        </w:rPr>
        <w:t xml:space="preserve"> rivolgendosi a tutti i cittadini, rinuncia effettivamente a porsi come intervento di tipo aggiuntivo (e non sostitutivo), allorché gli altri settori abbiano svolto pienamente - per tutti i cittadini - i propri servizi. In buona sostanza, la legge regionale - </w:t>
      </w:r>
      <w:r w:rsidRPr="00AA19E4">
        <w:rPr>
          <w:rFonts w:ascii="Verdana" w:eastAsia="Times New Roman" w:hAnsi="Verdana" w:cs="Times New Roman"/>
          <w:color w:val="000080"/>
          <w:sz w:val="18"/>
          <w:lang w:eastAsia="it-IT"/>
        </w:rPr>
        <w:t>alla pari della legge 328</w:t>
      </w:r>
      <w:r w:rsidRPr="00AA19E4">
        <w:rPr>
          <w:rFonts w:ascii="Verdana" w:eastAsia="Times New Roman" w:hAnsi="Verdana" w:cs="Times New Roman"/>
          <w:color w:val="000080"/>
          <w:sz w:val="18"/>
          <w:szCs w:val="18"/>
          <w:lang w:eastAsia="it-IT"/>
        </w:rPr>
        <w:t>/2000 - ritiene che, intessendo una rete di servizi sociali integrati tra loro ed orientata a favore di tutti, sia possibile affrontare e superare le varie situazioni di disagio e di sofferenza.</w:t>
      </w:r>
    </w:p>
    <w:p w:rsidR="00AA19E4" w:rsidRPr="00AA19E4" w:rsidRDefault="00AA19E4" w:rsidP="00AA19E4">
      <w:pPr>
        <w:spacing w:before="100" w:beforeAutospacing="1" w:after="100" w:afterAutospacing="1" w:line="240" w:lineRule="auto"/>
        <w:ind w:right="5"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Tale impostazione, seppur sostenuta – diversamente dalla legge 328/2000, come vedremo più avanti - dal riconoscimento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alcuni diritti azionabili - rischia, a nostro avviso, di caratterizzare la legge 1/2004 come uno strumento atto solamente a monitorare e controllare l’emarginazione sociale.</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Un esempio di ciò è rappresentato dalla prevista integrazione dei vari settori con quello delle politiche sociali, </w:t>
      </w:r>
      <w:r w:rsidRPr="00AA19E4">
        <w:rPr>
          <w:rFonts w:ascii="Verdana" w:eastAsia="Times New Roman" w:hAnsi="Verdana" w:cs="Times New Roman"/>
          <w:color w:val="000080"/>
          <w:sz w:val="18"/>
          <w:lang w:eastAsia="it-IT"/>
        </w:rPr>
        <w:t>nonché</w:t>
      </w:r>
      <w:r w:rsidRPr="00AA19E4">
        <w:rPr>
          <w:rFonts w:ascii="Verdana" w:eastAsia="Times New Roman" w:hAnsi="Verdana" w:cs="Times New Roman"/>
          <w:color w:val="000080"/>
          <w:sz w:val="18"/>
          <w:szCs w:val="18"/>
          <w:lang w:eastAsia="it-IT"/>
        </w:rPr>
        <w:t xml:space="preserve"> dalla conferma del ruolo dell’istituzionalizzazione.</w:t>
      </w:r>
    </w:p>
    <w:p w:rsidR="00AA19E4" w:rsidRPr="00AA19E4" w:rsidRDefault="00AA19E4" w:rsidP="00AA19E4">
      <w:pPr>
        <w:spacing w:before="100" w:beforeAutospacing="1" w:after="100" w:afterAutospacing="1" w:line="240" w:lineRule="auto"/>
        <w:ind w:right="5"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Nella legge regionale 1/2004, è previsto che i vari settori sociali (del lavoro, della formazione, della casa, ecc.) interagiscano in maniera integrata col settore </w:t>
      </w:r>
      <w:r w:rsidRPr="00AA19E4">
        <w:rPr>
          <w:rFonts w:ascii="Verdana" w:eastAsia="Times New Roman" w:hAnsi="Verdana" w:cs="Times New Roman"/>
          <w:color w:val="000080"/>
          <w:sz w:val="18"/>
          <w:lang w:eastAsia="it-IT"/>
        </w:rPr>
        <w:t>delle politiche socio-assistenziali</w:t>
      </w:r>
      <w:r w:rsidRPr="00AA19E4">
        <w:rPr>
          <w:rFonts w:ascii="Verdana" w:eastAsia="Times New Roman" w:hAnsi="Verdana" w:cs="Times New Roman"/>
          <w:color w:val="000080"/>
          <w:sz w:val="18"/>
          <w:szCs w:val="18"/>
          <w:lang w:eastAsia="it-IT"/>
        </w:rPr>
        <w:t>; pertanto, anziché soddisfare direttamente le esigenze (abitative, sanitarie, lavorative, ecc.) di tutti i cittadini avrebbero la possibilità di trasferire gli utenti più deboli negli ambiti socio-abitativo, socio-lavorativo, ecc., così come avviene attualmente per gli anziani cronici non autosufficienti e per i malati di Alzheimer, emarginati nel cosiddetto settore socio-sanitario.</w:t>
      </w:r>
    </w:p>
    <w:p w:rsidR="00AA19E4" w:rsidRPr="00AA19E4" w:rsidRDefault="00AA19E4" w:rsidP="00AA19E4">
      <w:pPr>
        <w:spacing w:before="100" w:beforeAutospacing="1" w:after="100" w:afterAutospacing="1" w:line="240" w:lineRule="auto"/>
        <w:ind w:right="5"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Dunque, la legge non conferma solo il </w:t>
      </w:r>
      <w:r w:rsidRPr="00AA19E4">
        <w:rPr>
          <w:rFonts w:ascii="Verdana" w:eastAsia="Times New Roman" w:hAnsi="Verdana" w:cs="Times New Roman"/>
          <w:color w:val="000080"/>
          <w:sz w:val="18"/>
          <w:lang w:eastAsia="it-IT"/>
        </w:rPr>
        <w:t>notorio</w:t>
      </w:r>
      <w:r w:rsidRPr="00AA19E4">
        <w:rPr>
          <w:rFonts w:ascii="Verdana" w:eastAsia="Times New Roman" w:hAnsi="Verdana" w:cs="Times New Roman"/>
          <w:color w:val="000080"/>
          <w:sz w:val="18"/>
          <w:szCs w:val="18"/>
          <w:lang w:eastAsia="it-IT"/>
        </w:rPr>
        <w:t xml:space="preserve"> approccio integrato (ma in realtà emarginante) tra i settori sanitario e assistenziale, ma rischia di riportare tale impostazione di rapporto anche per gli altri settori.</w:t>
      </w:r>
    </w:p>
    <w:p w:rsidR="00AA19E4" w:rsidRPr="00AA19E4" w:rsidRDefault="00AA19E4" w:rsidP="00AA19E4">
      <w:pPr>
        <w:spacing w:before="100" w:beforeAutospacing="1" w:after="100" w:afterAutospacing="1" w:line="240" w:lineRule="auto"/>
        <w:ind w:right="5"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Alcuni esempi. La scuola oggi prevede giustamente che i soggetti con handicap debbano </w:t>
      </w:r>
      <w:r w:rsidRPr="00AA19E4">
        <w:rPr>
          <w:rFonts w:ascii="Verdana" w:eastAsia="Times New Roman" w:hAnsi="Verdana" w:cs="Times New Roman"/>
          <w:color w:val="000080"/>
          <w:sz w:val="18"/>
          <w:lang w:eastAsia="it-IT"/>
        </w:rPr>
        <w:t>accedere</w:t>
      </w:r>
      <w:r w:rsidRPr="00AA19E4">
        <w:rPr>
          <w:rFonts w:ascii="Verdana" w:eastAsia="Times New Roman" w:hAnsi="Verdana" w:cs="Times New Roman"/>
          <w:color w:val="000080"/>
          <w:sz w:val="18"/>
          <w:szCs w:val="18"/>
          <w:lang w:eastAsia="it-IT"/>
        </w:rPr>
        <w:t xml:space="preserve"> nelle normali classi rivolte a tutti; domani potrebbero essere ricostituite, con la scusa dell’integrazione “socio-scolastica”, le classi speciali per i soggetti con handicap o con altre difficoltà.</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lastRenderedPageBreak/>
        <w:t xml:space="preserve">L’inserimento dei soggetti svantaggiati nelle normali aziende è un </w:t>
      </w:r>
      <w:r w:rsidRPr="00AA19E4">
        <w:rPr>
          <w:rFonts w:ascii="Verdana" w:eastAsia="Times New Roman" w:hAnsi="Verdana" w:cs="Times New Roman"/>
          <w:color w:val="000080"/>
          <w:sz w:val="18"/>
          <w:lang w:eastAsia="it-IT"/>
        </w:rPr>
        <w:t>obbiettivo</w:t>
      </w:r>
      <w:r w:rsidRPr="00AA19E4">
        <w:rPr>
          <w:rFonts w:ascii="Verdana" w:eastAsia="Times New Roman" w:hAnsi="Verdana" w:cs="Times New Roman"/>
          <w:color w:val="000080"/>
          <w:sz w:val="18"/>
          <w:szCs w:val="18"/>
          <w:lang w:eastAsia="it-IT"/>
        </w:rPr>
        <w:t xml:space="preserve"> importantissimo; già oggi però è forte il rischio di una discriminazione di questi soggetti, del loro inserimento in organizzazioni parallele e chiuse create ad hoc (cooperative sociali, ecc.).</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3" w:name="_Toc69616182"/>
      <w:r w:rsidRPr="00AA19E4">
        <w:rPr>
          <w:rFonts w:ascii="Verdana" w:eastAsia="Times New Roman" w:hAnsi="Verdana" w:cs="Times New Roman"/>
          <w:b/>
          <w:bCs/>
          <w:sz w:val="18"/>
          <w:szCs w:val="18"/>
          <w:lang w:eastAsia="it-IT"/>
        </w:rPr>
        <w:t> </w:t>
      </w:r>
      <w:bookmarkEnd w:id="3"/>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r w:rsidRPr="00AA19E4">
        <w:rPr>
          <w:rFonts w:ascii="Verdana" w:eastAsia="Times New Roman" w:hAnsi="Verdana" w:cs="Times New Roman"/>
          <w:b/>
          <w:bCs/>
          <w:sz w:val="18"/>
          <w:szCs w:val="18"/>
          <w:lang w:eastAsia="it-IT"/>
        </w:rPr>
        <w:t>Diritti esigibili</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Tra gli elementi </w:t>
      </w:r>
      <w:r w:rsidRPr="00AA19E4">
        <w:rPr>
          <w:rFonts w:ascii="Verdana" w:eastAsia="Times New Roman" w:hAnsi="Verdana" w:cs="Times New Roman"/>
          <w:color w:val="000080"/>
          <w:sz w:val="18"/>
          <w:lang w:eastAsia="it-IT"/>
        </w:rPr>
        <w:t>positivi</w:t>
      </w:r>
      <w:r w:rsidRPr="00AA19E4">
        <w:rPr>
          <w:rFonts w:ascii="Verdana" w:eastAsia="Times New Roman" w:hAnsi="Verdana" w:cs="Times New Roman"/>
          <w:color w:val="000080"/>
          <w:sz w:val="18"/>
          <w:szCs w:val="18"/>
          <w:lang w:eastAsia="it-IT"/>
        </w:rPr>
        <w:t xml:space="preserve">, la legge regionale n. 1/2004 prevede, come abbiamo già osservato, l’importante riconoscimento del diritto esigibile ai servizi ed alle prestazioni essenziali per alcune persone in condizioni di grave bisogno socio-economico. Si tratta di </w:t>
      </w:r>
      <w:r w:rsidRPr="00AA19E4">
        <w:rPr>
          <w:rFonts w:ascii="Verdana" w:eastAsia="Times New Roman" w:hAnsi="Verdana" w:cs="Times New Roman"/>
          <w:color w:val="000080"/>
          <w:sz w:val="18"/>
          <w:lang w:eastAsia="it-IT"/>
        </w:rPr>
        <w:t>una sostanziale novità rispetto alla legge 328</w:t>
      </w:r>
      <w:r w:rsidRPr="00AA19E4">
        <w:rPr>
          <w:rFonts w:ascii="Verdana" w:eastAsia="Times New Roman" w:hAnsi="Verdana" w:cs="Times New Roman"/>
          <w:color w:val="000080"/>
          <w:sz w:val="18"/>
          <w:szCs w:val="18"/>
          <w:lang w:eastAsia="it-IT"/>
        </w:rPr>
        <w:t xml:space="preserve">/2000 che non riconosce alcun diritto ma, com’è risaputo, prevede solo delle “priorità” all’accesso al sistema dei servizi per le persone in determinate situazioni di disagio. </w:t>
      </w:r>
      <w:r w:rsidRPr="00AA19E4">
        <w:rPr>
          <w:rFonts w:ascii="Verdana" w:eastAsia="Times New Roman" w:hAnsi="Verdana" w:cs="Times New Roman"/>
          <w:color w:val="000080"/>
          <w:sz w:val="18"/>
          <w:lang w:eastAsia="it-IT"/>
        </w:rPr>
        <w:t>La legge regionale 1/2004, difatti, all’articolo 22</w:t>
      </w:r>
      <w:r w:rsidRPr="00AA19E4">
        <w:rPr>
          <w:rFonts w:ascii="Verdana" w:eastAsia="Times New Roman" w:hAnsi="Verdana" w:cs="Times New Roman"/>
          <w:color w:val="000080"/>
          <w:sz w:val="18"/>
          <w:szCs w:val="18"/>
          <w:lang w:eastAsia="it-IT"/>
        </w:rPr>
        <w:t xml:space="preserve">, riconosce a ciascun cittadino il diritto di esigere le prestazioni sociali di livello essenziale.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lang w:eastAsia="it-IT"/>
        </w:rPr>
        <w:t>Pur</w:t>
      </w:r>
      <w:r w:rsidRPr="00AA19E4">
        <w:rPr>
          <w:rFonts w:ascii="Verdana" w:eastAsia="Times New Roman" w:hAnsi="Verdana" w:cs="Times New Roman"/>
          <w:color w:val="000080"/>
          <w:sz w:val="18"/>
          <w:szCs w:val="18"/>
          <w:lang w:eastAsia="it-IT"/>
        </w:rPr>
        <w:t xml:space="preserve"> facendo un generico riferimento all’universalità (cfr. </w:t>
      </w:r>
      <w:r w:rsidRPr="00AA19E4">
        <w:rPr>
          <w:rFonts w:ascii="Verdana" w:eastAsia="Times New Roman" w:hAnsi="Verdana" w:cs="Times New Roman"/>
          <w:color w:val="000080"/>
          <w:sz w:val="18"/>
          <w:lang w:eastAsia="it-IT"/>
        </w:rPr>
        <w:t>articoli</w:t>
      </w:r>
      <w:r w:rsidRPr="00AA19E4">
        <w:rPr>
          <w:rFonts w:ascii="Verdana" w:eastAsia="Times New Roman" w:hAnsi="Verdana" w:cs="Times New Roman"/>
          <w:color w:val="000080"/>
          <w:sz w:val="18"/>
          <w:szCs w:val="18"/>
          <w:lang w:eastAsia="it-IT"/>
        </w:rPr>
        <w:t xml:space="preserve"> 2 e 3), di fatto - giustamente - il diritto alle prestazioni e servizi è volto a ciascun cittadino in funzione della valutazione del suo bisogno. Inoltre è specificato che «</w:t>
      </w:r>
      <w:r w:rsidRPr="00AA19E4">
        <w:rPr>
          <w:rFonts w:ascii="Verdana" w:eastAsia="Times New Roman" w:hAnsi="Verdana" w:cs="Times New Roman"/>
          <w:i/>
          <w:iCs/>
          <w:color w:val="000080"/>
          <w:sz w:val="18"/>
          <w:szCs w:val="18"/>
          <w:lang w:eastAsia="it-IT"/>
        </w:rPr>
        <w:t xml:space="preserve">i soggetti in condizioni di povertà o con limitato reddito o con incapacità totale o parziale di provvedere alle proprie esigenze per inabilità </w:t>
      </w:r>
      <w:r w:rsidRPr="00AA19E4">
        <w:rPr>
          <w:rFonts w:ascii="Verdana" w:eastAsia="Times New Roman" w:hAnsi="Verdana" w:cs="Times New Roman"/>
          <w:i/>
          <w:iCs/>
          <w:color w:val="000080"/>
          <w:sz w:val="18"/>
          <w:lang w:eastAsia="it-IT"/>
        </w:rPr>
        <w:t xml:space="preserve">di </w:t>
      </w:r>
      <w:r w:rsidRPr="00AA19E4">
        <w:rPr>
          <w:rFonts w:ascii="Verdana" w:eastAsia="Times New Roman" w:hAnsi="Verdana" w:cs="Times New Roman"/>
          <w:i/>
          <w:iCs/>
          <w:color w:val="000080"/>
          <w:sz w:val="18"/>
          <w:szCs w:val="18"/>
          <w:lang w:eastAsia="it-IT"/>
        </w:rPr>
        <w:t xml:space="preserve">ordine fisico e psichico, con difficoltà di inserimento nella vita sociale attiva e nel mercato del lavoro, nonché i soggetti sottoposti a provvedimenti dell’autorità giudiziaria che rendono necessari interventi assistenziali, i minori, specie se in condizioni di disagio familiare, accedono prioritariamente ai servizi e alle prestazioni erogati dal sistema integrato di interventi e servizi sociali </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articolo</w:t>
      </w:r>
      <w:r w:rsidRPr="00AA19E4">
        <w:rPr>
          <w:rFonts w:ascii="Verdana" w:eastAsia="Times New Roman" w:hAnsi="Verdana" w:cs="Times New Roman"/>
          <w:color w:val="000080"/>
          <w:sz w:val="18"/>
          <w:szCs w:val="18"/>
          <w:lang w:eastAsia="it-IT"/>
        </w:rPr>
        <w:t xml:space="preserve"> 22, comma 3).</w:t>
      </w:r>
    </w:p>
    <w:p w:rsidR="00AA19E4" w:rsidRPr="00AA19E4" w:rsidRDefault="00AA19E4" w:rsidP="00AA19E4">
      <w:pPr>
        <w:spacing w:before="100" w:beforeAutospacing="1" w:after="100" w:afterAutospacing="1" w:line="240" w:lineRule="auto"/>
        <w:ind w:right="5" w:firstLine="504"/>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lang w:eastAsia="it-IT"/>
        </w:rPr>
        <w:t>Resta aperta la questione del rispetto da parte delle istituzioni del diritto alle prestazioni</w:t>
      </w:r>
      <w:r w:rsidRPr="00AA19E4">
        <w:rPr>
          <w:rFonts w:ascii="Verdana" w:eastAsia="Times New Roman" w:hAnsi="Verdana" w:cs="Times New Roman"/>
          <w:color w:val="000080"/>
          <w:sz w:val="18"/>
          <w:szCs w:val="18"/>
          <w:lang w:eastAsia="it-IT"/>
        </w:rPr>
        <w:t xml:space="preserve">. Al riguardo ricordiamo che, pur prevedendo le leggi vigenti il diritto esigibile alle cure sanitarie, sono largamente praticate le dimissioni, spesso selvagge, degli anziani cronici non autosufficienti dagli ospedali e dalle case di cura private convenzionate. </w:t>
      </w:r>
    </w:p>
    <w:p w:rsidR="00AA19E4" w:rsidRPr="00AA19E4" w:rsidRDefault="00AA19E4" w:rsidP="00AA19E4">
      <w:pPr>
        <w:spacing w:before="100" w:beforeAutospacing="1" w:after="100" w:afterAutospacing="1" w:line="240" w:lineRule="auto"/>
        <w:ind w:right="5" w:firstLine="504"/>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Riconoscendo il diritto alle prestazioni per </w:t>
      </w:r>
      <w:r w:rsidRPr="00AA19E4">
        <w:rPr>
          <w:rFonts w:ascii="Verdana" w:eastAsia="Times New Roman" w:hAnsi="Verdana" w:cs="Times New Roman"/>
          <w:color w:val="000080"/>
          <w:sz w:val="18"/>
          <w:lang w:eastAsia="it-IT"/>
        </w:rPr>
        <w:t>coloro che sono</w:t>
      </w:r>
      <w:r w:rsidRPr="00AA19E4">
        <w:rPr>
          <w:rFonts w:ascii="Verdana" w:eastAsia="Times New Roman" w:hAnsi="Verdana" w:cs="Times New Roman"/>
          <w:color w:val="000080"/>
          <w:sz w:val="18"/>
          <w:szCs w:val="18"/>
          <w:lang w:eastAsia="it-IT"/>
        </w:rPr>
        <w:t xml:space="preserve"> in stato di bisogno, la nuova legge regionale supera le disposizioni presenti negli articoli 154 e 155 del regio decreto n. 773/1931 che obbligano tuttora i Comuni a provvedere al ricovero di coloro che non sono in grado di vivere autonomamente.</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4" w:name="_Toc69616187"/>
      <w:r w:rsidRPr="00AA19E4">
        <w:rPr>
          <w:rFonts w:ascii="Verdana" w:eastAsia="Times New Roman" w:hAnsi="Verdana" w:cs="Times New Roman"/>
          <w:b/>
          <w:bCs/>
          <w:sz w:val="18"/>
          <w:szCs w:val="18"/>
          <w:lang w:eastAsia="it-IT"/>
        </w:rPr>
        <w:t> </w:t>
      </w:r>
      <w:bookmarkEnd w:id="4"/>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r w:rsidRPr="00AA19E4">
        <w:rPr>
          <w:rFonts w:ascii="Verdana" w:eastAsia="Times New Roman" w:hAnsi="Verdana" w:cs="Times New Roman"/>
          <w:b/>
          <w:bCs/>
          <w:sz w:val="18"/>
          <w:szCs w:val="18"/>
          <w:lang w:eastAsia="it-IT"/>
        </w:rPr>
        <w:t>Integrazione socio-sanitaria</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Occorre evidenziare un aspetto </w:t>
      </w:r>
      <w:r w:rsidRPr="00AA19E4">
        <w:rPr>
          <w:rFonts w:ascii="Verdana" w:eastAsia="Times New Roman" w:hAnsi="Verdana" w:cs="Times New Roman"/>
          <w:color w:val="000080"/>
          <w:sz w:val="18"/>
          <w:lang w:eastAsia="it-IT"/>
        </w:rPr>
        <w:t>problematico</w:t>
      </w:r>
      <w:r w:rsidRPr="00AA19E4">
        <w:rPr>
          <w:rFonts w:ascii="Verdana" w:eastAsia="Times New Roman" w:hAnsi="Verdana" w:cs="Times New Roman"/>
          <w:color w:val="000080"/>
          <w:sz w:val="18"/>
          <w:szCs w:val="18"/>
          <w:lang w:eastAsia="it-IT"/>
        </w:rPr>
        <w:t xml:space="preserve"> in merito a quei servizi e prestazioni ad integrazione socio-sanitaria. </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Nella legge 1/2004 è specificatamente stabilito che per tali servizi, diversamente dalle norme che prevedono fin d’ora diritti esigibili, è la Regione che «</w:t>
      </w:r>
      <w:r w:rsidRPr="00AA19E4">
        <w:rPr>
          <w:rFonts w:ascii="Verdana" w:eastAsia="Times New Roman" w:hAnsi="Verdana" w:cs="Times New Roman"/>
          <w:i/>
          <w:iCs/>
          <w:color w:val="000080"/>
          <w:sz w:val="18"/>
          <w:szCs w:val="18"/>
          <w:lang w:eastAsia="it-IT"/>
        </w:rPr>
        <w:t xml:space="preserve">determina gli obiettivi, le funzioni, i criteri e le </w:t>
      </w:r>
      <w:r w:rsidRPr="00AA19E4">
        <w:rPr>
          <w:rFonts w:ascii="Verdana" w:eastAsia="Times New Roman" w:hAnsi="Verdana" w:cs="Times New Roman"/>
          <w:i/>
          <w:iCs/>
          <w:color w:val="000080"/>
          <w:sz w:val="18"/>
          <w:lang w:eastAsia="it-IT"/>
        </w:rPr>
        <w:t>modalità</w:t>
      </w:r>
      <w:r w:rsidRPr="00AA19E4">
        <w:rPr>
          <w:rFonts w:ascii="Verdana" w:eastAsia="Times New Roman" w:hAnsi="Verdana" w:cs="Times New Roman"/>
          <w:i/>
          <w:iCs/>
          <w:color w:val="000080"/>
          <w:sz w:val="18"/>
          <w:szCs w:val="18"/>
          <w:lang w:eastAsia="it-IT"/>
        </w:rPr>
        <w:t xml:space="preserve"> di erogazione dei servizi, compresi quelli di finanziamento, nell’ambito della normativa nazionale vigente e di quanto previsto dal Piano socio sanitario regionale».</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Nella sostanza, tali interventi dovrebbero riguardare le prestazioni comprese nei Lea - Livelli essenziali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assistenza, che la Regione Piemonte ha in parte già determinato con deliberazione della Giunta regionale del 23 dicembre 2003, n. 51 (che peraltro attualmente è già in corso di revisione).</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Ricordiamo che tra le prestazioni </w:t>
      </w:r>
      <w:r w:rsidRPr="00AA19E4">
        <w:rPr>
          <w:rFonts w:ascii="Verdana" w:eastAsia="Times New Roman" w:hAnsi="Verdana" w:cs="Times New Roman"/>
          <w:color w:val="000080"/>
          <w:sz w:val="18"/>
          <w:lang w:eastAsia="it-IT"/>
        </w:rPr>
        <w:t>afferenti</w:t>
      </w:r>
      <w:r w:rsidRPr="00AA19E4">
        <w:rPr>
          <w:rFonts w:ascii="Verdana" w:eastAsia="Times New Roman" w:hAnsi="Verdana" w:cs="Times New Roman"/>
          <w:color w:val="000080"/>
          <w:sz w:val="18"/>
          <w:szCs w:val="18"/>
          <w:lang w:eastAsia="it-IT"/>
        </w:rPr>
        <w:t xml:space="preserve"> all’area dell’integrazione socio-sanitaria rientrano quelle concernenti l’assistenza territoriale residenziale e semiresidenziale a favore dei soggetti con handicap e limitata o nulla autonomia, nonché gli anziani cronici non autosufficienti, i malati di Alzheimer e gli altri soggetti colpiti da demenza senile. </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lang w:eastAsia="it-IT"/>
        </w:rPr>
        <w:t>Mentre</w:t>
      </w:r>
      <w:r w:rsidRPr="00AA19E4">
        <w:rPr>
          <w:rFonts w:ascii="Verdana" w:eastAsia="Times New Roman" w:hAnsi="Verdana" w:cs="Times New Roman"/>
          <w:color w:val="000080"/>
          <w:sz w:val="18"/>
          <w:szCs w:val="18"/>
          <w:lang w:eastAsia="it-IT"/>
        </w:rPr>
        <w:t xml:space="preserve">, sulla base dell’art. 54 della legge 289/2002 (legge finanziaria 2003), che ha elevato a rango di legge il </w:t>
      </w:r>
      <w:proofErr w:type="spellStart"/>
      <w:r w:rsidRPr="00AA19E4">
        <w:rPr>
          <w:rFonts w:ascii="Verdana" w:eastAsia="Times New Roman" w:hAnsi="Verdana" w:cs="Times New Roman"/>
          <w:color w:val="000080"/>
          <w:sz w:val="18"/>
          <w:lang w:eastAsia="it-IT"/>
        </w:rPr>
        <w:t>Dpcm</w:t>
      </w:r>
      <w:proofErr w:type="spellEnd"/>
      <w:r w:rsidRPr="00AA19E4">
        <w:rPr>
          <w:rFonts w:ascii="Verdana" w:eastAsia="Times New Roman" w:hAnsi="Verdana" w:cs="Times New Roman"/>
          <w:color w:val="000080"/>
          <w:sz w:val="18"/>
          <w:szCs w:val="18"/>
          <w:lang w:eastAsia="it-IT"/>
        </w:rPr>
        <w:t xml:space="preserve"> (Decreto del Presidente del Consiglio dei Ministri) sui Lea, è previsto che le prestazioni sopra accennate debbano essere garantite dal Servizio sanitario nazionale, la materia è trattata dalla Regione Piemonte nell’ambito di una legge sui servizi socio-assistenziali.</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Segnaliamo, inoltre, che la legge regionale prevede che il Piano di zona (strumento obbligatorio per la definizione del sistema integrato degli interventi e dei servizi sociali del territorio di competenza) debba </w:t>
      </w:r>
      <w:r w:rsidRPr="00AA19E4">
        <w:rPr>
          <w:rFonts w:ascii="Verdana" w:eastAsia="Times New Roman" w:hAnsi="Verdana" w:cs="Times New Roman"/>
          <w:color w:val="000080"/>
          <w:sz w:val="18"/>
          <w:szCs w:val="18"/>
          <w:lang w:eastAsia="it-IT"/>
        </w:rPr>
        <w:lastRenderedPageBreak/>
        <w:t xml:space="preserve">trovare in merito al settore dell’integrazione socio-sanitaria </w:t>
      </w:r>
      <w:r w:rsidRPr="00AA19E4">
        <w:rPr>
          <w:rFonts w:ascii="Verdana" w:eastAsia="Times New Roman" w:hAnsi="Verdana" w:cs="Times New Roman"/>
          <w:i/>
          <w:iCs/>
          <w:color w:val="000080"/>
          <w:sz w:val="18"/>
          <w:szCs w:val="18"/>
          <w:lang w:eastAsia="it-IT"/>
        </w:rPr>
        <w:t xml:space="preserve">«obbligatoria corrispondenza nella parte dei programmi </w:t>
      </w:r>
      <w:r w:rsidRPr="00AA19E4">
        <w:rPr>
          <w:rFonts w:ascii="Verdana" w:eastAsia="Times New Roman" w:hAnsi="Verdana" w:cs="Times New Roman"/>
          <w:i/>
          <w:iCs/>
          <w:color w:val="000080"/>
          <w:sz w:val="18"/>
          <w:lang w:eastAsia="it-IT"/>
        </w:rPr>
        <w:t xml:space="preserve">di </w:t>
      </w:r>
      <w:r w:rsidRPr="00AA19E4">
        <w:rPr>
          <w:rFonts w:ascii="Verdana" w:eastAsia="Times New Roman" w:hAnsi="Verdana" w:cs="Times New Roman"/>
          <w:i/>
          <w:iCs/>
          <w:color w:val="000080"/>
          <w:sz w:val="18"/>
          <w:szCs w:val="18"/>
          <w:lang w:eastAsia="it-IT"/>
        </w:rPr>
        <w:t>attività distrettuale contenuta nei piani attuativi aziendali»</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articolo</w:t>
      </w:r>
      <w:r w:rsidRPr="00AA19E4">
        <w:rPr>
          <w:rFonts w:ascii="Verdana" w:eastAsia="Times New Roman" w:hAnsi="Verdana" w:cs="Times New Roman"/>
          <w:color w:val="000080"/>
          <w:sz w:val="18"/>
          <w:szCs w:val="18"/>
          <w:lang w:eastAsia="it-IT"/>
        </w:rPr>
        <w:t xml:space="preserve"> 17).</w:t>
      </w:r>
    </w:p>
    <w:p w:rsidR="00AA19E4" w:rsidRPr="00AA19E4" w:rsidRDefault="00AA19E4" w:rsidP="00AA19E4">
      <w:pPr>
        <w:spacing w:before="100" w:beforeAutospacing="1" w:after="100" w:afterAutospacing="1" w:line="240" w:lineRule="auto"/>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5" w:name="_Toc69616183"/>
      <w:r w:rsidRPr="00AA19E4">
        <w:rPr>
          <w:rFonts w:ascii="Verdana" w:eastAsia="Times New Roman" w:hAnsi="Verdana" w:cs="Times New Roman"/>
          <w:b/>
          <w:bCs/>
          <w:sz w:val="18"/>
          <w:szCs w:val="18"/>
          <w:lang w:eastAsia="it-IT"/>
        </w:rPr>
        <w:t>Le prestazioni</w:t>
      </w:r>
      <w:bookmarkEnd w:id="5"/>
      <w:r w:rsidRPr="00AA19E4">
        <w:rPr>
          <w:rFonts w:ascii="Verdana" w:eastAsia="Times New Roman" w:hAnsi="Verdana" w:cs="Times New Roman"/>
          <w:b/>
          <w:bCs/>
          <w:sz w:val="18"/>
          <w:szCs w:val="18"/>
          <w:lang w:eastAsia="it-IT"/>
        </w:rPr>
        <w:t xml:space="preserve"> </w:t>
      </w:r>
    </w:p>
    <w:p w:rsidR="00AA19E4" w:rsidRPr="00AA19E4" w:rsidRDefault="00AA19E4" w:rsidP="00AA19E4">
      <w:pPr>
        <w:spacing w:before="100" w:beforeAutospacing="1" w:after="100" w:afterAutospacing="1" w:line="240" w:lineRule="auto"/>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In merito ai servizi e alle prestazioni, </w:t>
      </w:r>
      <w:r w:rsidRPr="00AA19E4">
        <w:rPr>
          <w:rFonts w:ascii="Verdana" w:eastAsia="Times New Roman" w:hAnsi="Verdana" w:cs="Times New Roman"/>
          <w:color w:val="000080"/>
          <w:sz w:val="18"/>
          <w:lang w:eastAsia="it-IT"/>
        </w:rPr>
        <w:t>in</w:t>
      </w:r>
      <w:r w:rsidRPr="00AA19E4">
        <w:rPr>
          <w:rFonts w:ascii="Verdana" w:eastAsia="Times New Roman" w:hAnsi="Verdana" w:cs="Times New Roman"/>
          <w:color w:val="000080"/>
          <w:sz w:val="18"/>
          <w:szCs w:val="18"/>
          <w:lang w:eastAsia="it-IT"/>
        </w:rPr>
        <w:t xml:space="preserve"> attesa di una loro definizione puntuale sulla base di quanto previsto dalla relativa norma nazionale in materia, purtroppo ancora da emanare, la legge 1/2004 li individua sia come obiettivi sia nella loro tipologia. E </w:t>
      </w:r>
      <w:r w:rsidRPr="00AA19E4">
        <w:rPr>
          <w:rFonts w:ascii="Verdana" w:eastAsia="Times New Roman" w:hAnsi="Verdana" w:cs="Times New Roman"/>
          <w:color w:val="000080"/>
          <w:sz w:val="18"/>
          <w:lang w:eastAsia="it-IT"/>
        </w:rPr>
        <w:t>cioè</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l’</w:t>
      </w:r>
      <w:r w:rsidRPr="00AA19E4">
        <w:rPr>
          <w:rFonts w:ascii="Verdana" w:eastAsia="Times New Roman" w:hAnsi="Verdana" w:cs="Times New Roman"/>
          <w:color w:val="000080"/>
          <w:sz w:val="18"/>
          <w:szCs w:val="18"/>
          <w:lang w:eastAsia="it-IT"/>
        </w:rPr>
        <w:t xml:space="preserve">articolo 18): superamento delle carenze del reddito familiare, contrasto della povertà, mantenimento a domicilio delle persone, soddisfacimento delle esigenze di tutela residenziale e semiresidenziale delle persone non autonome e non autosufficienti, tutela dei diritti del minore e della donna in difficoltà, integrazione dei soggetti disabili, superamento degli stati di disagio sociale derivanti da forme di dipendenza, informazione e consulenza corrette e complete alle persone e alle famiglie per favorire la fruizione dei servizi. </w:t>
      </w:r>
    </w:p>
    <w:p w:rsidR="00AA19E4" w:rsidRPr="00AA19E4" w:rsidRDefault="00AA19E4" w:rsidP="00AA19E4">
      <w:pPr>
        <w:spacing w:before="100" w:beforeAutospacing="1" w:after="100" w:afterAutospacing="1" w:line="240" w:lineRule="auto"/>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In particolare, sono obbligatoriamente previste le seguenti attività: servizio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assistenza domiciliare e di inserimento sociale, servizio di assistenza economica, servizi residenziali e semiresidenziali, servizi per l’affidamento e le adozioni, pronto intervento sociale per le situazioni di emergenza personali e familiari.</w:t>
      </w:r>
    </w:p>
    <w:p w:rsidR="00AA19E4" w:rsidRPr="00AA19E4" w:rsidRDefault="00AA19E4" w:rsidP="00AA19E4">
      <w:pPr>
        <w:spacing w:before="100" w:beforeAutospacing="1" w:after="100" w:afterAutospacing="1" w:line="240" w:lineRule="auto"/>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Solo l’esperienza ci dirà se le suddette disposizioni saranno attuate in modo corretto, in modo da eliminare le liste </w:t>
      </w:r>
      <w:r w:rsidRPr="00AA19E4">
        <w:rPr>
          <w:rFonts w:ascii="Verdana" w:eastAsia="Times New Roman" w:hAnsi="Verdana" w:cs="Times New Roman"/>
          <w:color w:val="000080"/>
          <w:sz w:val="18"/>
          <w:lang w:eastAsia="it-IT"/>
        </w:rPr>
        <w:t xml:space="preserve">di </w:t>
      </w:r>
      <w:r w:rsidRPr="00AA19E4">
        <w:rPr>
          <w:rFonts w:ascii="Verdana" w:eastAsia="Times New Roman" w:hAnsi="Verdana" w:cs="Times New Roman"/>
          <w:color w:val="000080"/>
          <w:sz w:val="18"/>
          <w:szCs w:val="18"/>
          <w:lang w:eastAsia="it-IT"/>
        </w:rPr>
        <w:t>attesa e di garantire una adeguata qualità degli interventi.</w:t>
      </w:r>
    </w:p>
    <w:p w:rsidR="00AA19E4" w:rsidRPr="00AA19E4" w:rsidRDefault="00AA19E4" w:rsidP="00AA19E4">
      <w:pPr>
        <w:spacing w:before="100" w:beforeAutospacing="1" w:after="100" w:afterAutospacing="1" w:line="240" w:lineRule="auto"/>
        <w:ind w:firstLine="284"/>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Ricordiamo che, contro l’eventuale motivato diniego alla richiesta di servizio o prestazione, la legge 1/2004 prevede il ricorso per opposizione allo stesso ente competente per l’erogazione della prestazione negata (cfr. </w:t>
      </w:r>
      <w:r w:rsidRPr="00AA19E4">
        <w:rPr>
          <w:rFonts w:ascii="Verdana" w:eastAsia="Times New Roman" w:hAnsi="Verdana" w:cs="Times New Roman"/>
          <w:color w:val="000080"/>
          <w:sz w:val="18"/>
          <w:lang w:eastAsia="it-IT"/>
        </w:rPr>
        <w:t>a</w:t>
      </w:r>
      <w:r w:rsidRPr="00AA19E4">
        <w:rPr>
          <w:rFonts w:ascii="Verdana" w:eastAsia="Times New Roman" w:hAnsi="Verdana" w:cs="Times New Roman"/>
          <w:color w:val="000080"/>
          <w:sz w:val="18"/>
          <w:szCs w:val="18"/>
          <w:lang w:eastAsia="it-IT"/>
        </w:rPr>
        <w:t>rticolo 22, comma 1).</w:t>
      </w:r>
    </w:p>
    <w:p w:rsidR="00AA19E4" w:rsidRPr="00AA19E4" w:rsidRDefault="00AA19E4" w:rsidP="00AA19E4">
      <w:pPr>
        <w:spacing w:before="100" w:beforeAutospacing="1" w:after="100" w:afterAutospacing="1" w:line="240" w:lineRule="auto"/>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6" w:name="_Toc69616184"/>
      <w:r w:rsidRPr="00AA19E4">
        <w:rPr>
          <w:rFonts w:ascii="Verdana" w:eastAsia="Times New Roman" w:hAnsi="Verdana" w:cs="Times New Roman"/>
          <w:b/>
          <w:bCs/>
          <w:sz w:val="18"/>
          <w:szCs w:val="18"/>
          <w:lang w:eastAsia="it-IT"/>
        </w:rPr>
        <w:t>Ambiti di gestione</w:t>
      </w:r>
      <w:bookmarkEnd w:id="6"/>
    </w:p>
    <w:p w:rsidR="00AA19E4" w:rsidRPr="00AA19E4" w:rsidRDefault="00AA19E4" w:rsidP="00AA19E4">
      <w:pPr>
        <w:spacing w:before="100" w:beforeAutospacing="1" w:after="100" w:afterAutospacing="1" w:line="240" w:lineRule="auto"/>
        <w:ind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I Comuni sono i «</w:t>
      </w:r>
      <w:r w:rsidRPr="00AA19E4">
        <w:rPr>
          <w:rFonts w:ascii="Verdana" w:eastAsia="Times New Roman" w:hAnsi="Verdana" w:cs="Times New Roman"/>
          <w:i/>
          <w:iCs/>
          <w:color w:val="000080"/>
          <w:sz w:val="18"/>
          <w:szCs w:val="18"/>
          <w:lang w:eastAsia="it-IT"/>
        </w:rPr>
        <w:t>titolari delle funzioni concernenti gli interventi sociali svolti a livello locale</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a</w:t>
      </w:r>
      <w:r w:rsidRPr="00AA19E4">
        <w:rPr>
          <w:rFonts w:ascii="Verdana" w:eastAsia="Times New Roman" w:hAnsi="Verdana" w:cs="Times New Roman"/>
          <w:color w:val="000080"/>
          <w:sz w:val="18"/>
          <w:szCs w:val="18"/>
          <w:lang w:eastAsia="it-IT"/>
        </w:rPr>
        <w:t xml:space="preserve">rticolo 6, comma 1). </w:t>
      </w:r>
    </w:p>
    <w:p w:rsidR="00AA19E4" w:rsidRPr="00AA19E4" w:rsidRDefault="00AA19E4" w:rsidP="00AA19E4">
      <w:pPr>
        <w:spacing w:before="100" w:beforeAutospacing="1" w:after="100" w:afterAutospacing="1" w:line="240" w:lineRule="auto"/>
        <w:ind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La Regione poi «</w:t>
      </w:r>
      <w:r w:rsidRPr="00AA19E4">
        <w:rPr>
          <w:rFonts w:ascii="Verdana" w:eastAsia="Times New Roman" w:hAnsi="Verdana" w:cs="Times New Roman"/>
          <w:i/>
          <w:iCs/>
          <w:color w:val="000080"/>
          <w:sz w:val="18"/>
          <w:szCs w:val="18"/>
          <w:lang w:eastAsia="it-IT"/>
        </w:rPr>
        <w:t xml:space="preserve">individua nella gestione associata, ed in particolare in quella consortile, la forma idonea a garantire l’efficacia e l’efficienza degli interventi e dei servizi sociali di competenza dei Comuni e prevede incentivi finanziari a favore dell’esercizio associato delle funzioni e </w:t>
      </w:r>
      <w:r w:rsidRPr="00AA19E4">
        <w:rPr>
          <w:rFonts w:ascii="Verdana" w:eastAsia="Times New Roman" w:hAnsi="Verdana" w:cs="Times New Roman"/>
          <w:i/>
          <w:iCs/>
          <w:color w:val="000080"/>
          <w:sz w:val="18"/>
          <w:lang w:eastAsia="it-IT"/>
        </w:rPr>
        <w:t xml:space="preserve">della </w:t>
      </w:r>
      <w:r w:rsidRPr="00AA19E4">
        <w:rPr>
          <w:rFonts w:ascii="Verdana" w:eastAsia="Times New Roman" w:hAnsi="Verdana" w:cs="Times New Roman"/>
          <w:i/>
          <w:iCs/>
          <w:color w:val="000080"/>
          <w:sz w:val="18"/>
          <w:szCs w:val="18"/>
          <w:lang w:eastAsia="it-IT"/>
        </w:rPr>
        <w:t>erogazione della totalità delle prestazioni essenziali</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articolo</w:t>
      </w:r>
      <w:r w:rsidRPr="00AA19E4">
        <w:rPr>
          <w:rFonts w:ascii="Verdana" w:eastAsia="Times New Roman" w:hAnsi="Verdana" w:cs="Times New Roman"/>
          <w:color w:val="000080"/>
          <w:sz w:val="18"/>
          <w:szCs w:val="18"/>
          <w:lang w:eastAsia="it-IT"/>
        </w:rPr>
        <w:t xml:space="preserve"> 9, comma 1).</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È previsto però che </w:t>
      </w:r>
      <w:r w:rsidRPr="00AA19E4">
        <w:rPr>
          <w:rFonts w:ascii="Verdana" w:eastAsia="Times New Roman" w:hAnsi="Verdana" w:cs="Times New Roman"/>
          <w:color w:val="000080"/>
          <w:sz w:val="18"/>
          <w:lang w:eastAsia="it-IT"/>
        </w:rPr>
        <w:t>vengano</w:t>
      </w:r>
      <w:r w:rsidRPr="00AA19E4">
        <w:rPr>
          <w:rFonts w:ascii="Verdana" w:eastAsia="Times New Roman" w:hAnsi="Verdana" w:cs="Times New Roman"/>
          <w:color w:val="000080"/>
          <w:sz w:val="18"/>
          <w:szCs w:val="18"/>
          <w:lang w:eastAsia="it-IT"/>
        </w:rPr>
        <w:t xml:space="preserve"> obbligatoriamente gestite in forma associata solo «</w:t>
      </w:r>
      <w:r w:rsidRPr="00AA19E4">
        <w:rPr>
          <w:rFonts w:ascii="Verdana" w:eastAsia="Times New Roman" w:hAnsi="Verdana" w:cs="Times New Roman"/>
          <w:i/>
          <w:iCs/>
          <w:color w:val="000080"/>
          <w:sz w:val="18"/>
          <w:szCs w:val="18"/>
          <w:lang w:eastAsia="it-IT"/>
        </w:rPr>
        <w:t xml:space="preserve">le attività sociali a rilievo sanitario per la tutela </w:t>
      </w:r>
      <w:proofErr w:type="spellStart"/>
      <w:r w:rsidRPr="00AA19E4">
        <w:rPr>
          <w:rFonts w:ascii="Verdana" w:eastAsia="Times New Roman" w:hAnsi="Verdana" w:cs="Times New Roman"/>
          <w:i/>
          <w:iCs/>
          <w:color w:val="000080"/>
          <w:sz w:val="18"/>
          <w:lang w:eastAsia="it-IT"/>
        </w:rPr>
        <w:t>materno-infantile</w:t>
      </w:r>
      <w:proofErr w:type="spellEnd"/>
      <w:r w:rsidRPr="00AA19E4">
        <w:rPr>
          <w:rFonts w:ascii="Verdana" w:eastAsia="Times New Roman" w:hAnsi="Verdana" w:cs="Times New Roman"/>
          <w:i/>
          <w:iCs/>
          <w:color w:val="000080"/>
          <w:sz w:val="18"/>
          <w:szCs w:val="18"/>
          <w:lang w:eastAsia="it-IT"/>
        </w:rPr>
        <w:t xml:space="preserve"> e dell’età  evolutiva nonché per adulti ed anziani con limitazione dell’autonomia, le attività di formazione professionale del personale dei servizi sociali e quelle relative all’autorizzazione, accreditamento e vigilanza sui servizi e sulle strutture</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articolo</w:t>
      </w:r>
      <w:r w:rsidRPr="00AA19E4">
        <w:rPr>
          <w:rFonts w:ascii="Verdana" w:eastAsia="Times New Roman" w:hAnsi="Verdana" w:cs="Times New Roman"/>
          <w:color w:val="000080"/>
          <w:sz w:val="18"/>
          <w:szCs w:val="18"/>
          <w:lang w:eastAsia="it-IT"/>
        </w:rPr>
        <w:t xml:space="preserve"> 9, comma 5).</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Come si è già verificato negli anni scorsi, e come avviene tuttora, la mancata obbligatorietà della gestione associata di tutte le competenze </w:t>
      </w:r>
      <w:r w:rsidRPr="00AA19E4">
        <w:rPr>
          <w:rFonts w:ascii="Verdana" w:eastAsia="Times New Roman" w:hAnsi="Verdana" w:cs="Times New Roman"/>
          <w:color w:val="000080"/>
          <w:sz w:val="18"/>
          <w:lang w:eastAsia="it-IT"/>
        </w:rPr>
        <w:t>continuerà</w:t>
      </w:r>
      <w:r w:rsidRPr="00AA19E4">
        <w:rPr>
          <w:rFonts w:ascii="Verdana" w:eastAsia="Times New Roman" w:hAnsi="Verdana" w:cs="Times New Roman"/>
          <w:color w:val="000080"/>
          <w:sz w:val="18"/>
          <w:szCs w:val="18"/>
          <w:lang w:eastAsia="it-IT"/>
        </w:rPr>
        <w:t xml:space="preserve"> a creare difficoltà a volte anche assurde, in quanto si creano spazi per i conflitti di competenze.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L’articolo 8, inoltre, stabilisce che «</w:t>
      </w:r>
      <w:r w:rsidRPr="00AA19E4">
        <w:rPr>
          <w:rFonts w:ascii="Verdana" w:eastAsia="Times New Roman" w:hAnsi="Verdana" w:cs="Times New Roman"/>
          <w:i/>
          <w:iCs/>
          <w:color w:val="000080"/>
          <w:sz w:val="18"/>
          <w:szCs w:val="18"/>
          <w:lang w:eastAsia="it-IT"/>
        </w:rPr>
        <w:t xml:space="preserve">al fine di assicurare la migliore integrazione con i servizi sanitari, la Regione individua gli ambiti territoriali dei distretti sanitari o di multipli </w:t>
      </w:r>
      <w:r w:rsidRPr="00AA19E4">
        <w:rPr>
          <w:rFonts w:ascii="Verdana" w:eastAsia="Times New Roman" w:hAnsi="Verdana" w:cs="Times New Roman"/>
          <w:i/>
          <w:iCs/>
          <w:color w:val="000080"/>
          <w:sz w:val="18"/>
          <w:lang w:eastAsia="it-IT"/>
        </w:rPr>
        <w:t>degli stessi quale ambito ottimale</w:t>
      </w:r>
      <w:r w:rsidRPr="00AA19E4">
        <w:rPr>
          <w:rFonts w:ascii="Verdana" w:eastAsia="Times New Roman" w:hAnsi="Verdana" w:cs="Times New Roman"/>
          <w:i/>
          <w:iCs/>
          <w:color w:val="000080"/>
          <w:sz w:val="18"/>
          <w:szCs w:val="18"/>
          <w:lang w:eastAsia="it-IT"/>
        </w:rPr>
        <w:t xml:space="preserve"> per la gestione del sistema integrato degli interventi e dei servizi sociali </w:t>
      </w:r>
      <w:r w:rsidRPr="00AA19E4">
        <w:rPr>
          <w:rFonts w:ascii="Verdana" w:eastAsia="Times New Roman" w:hAnsi="Verdana" w:cs="Times New Roman"/>
          <w:color w:val="000080"/>
          <w:sz w:val="18"/>
          <w:szCs w:val="18"/>
          <w:lang w:eastAsia="it-IT"/>
        </w:rPr>
        <w:t xml:space="preserv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Tale disposizione potrà comportare per i Comuni consorziati la </w:t>
      </w:r>
      <w:r w:rsidRPr="00AA19E4">
        <w:rPr>
          <w:rFonts w:ascii="Verdana" w:eastAsia="Times New Roman" w:hAnsi="Verdana" w:cs="Times New Roman"/>
          <w:color w:val="000080"/>
          <w:sz w:val="18"/>
          <w:lang w:eastAsia="it-IT"/>
        </w:rPr>
        <w:t>revisione</w:t>
      </w:r>
      <w:r w:rsidRPr="00AA19E4">
        <w:rPr>
          <w:rFonts w:ascii="Verdana" w:eastAsia="Times New Roman" w:hAnsi="Verdana" w:cs="Times New Roman"/>
          <w:color w:val="000080"/>
          <w:sz w:val="18"/>
          <w:szCs w:val="18"/>
          <w:lang w:eastAsia="it-IT"/>
        </w:rPr>
        <w:t xml:space="preserve"> dei loro assetti istituzionali, qualora il loro nuovo ambito territoriale non corrisponda più a quello attuale.</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7" w:name="_Toc69616185"/>
      <w:r w:rsidRPr="00AA19E4">
        <w:rPr>
          <w:rFonts w:ascii="Verdana" w:eastAsia="Times New Roman" w:hAnsi="Verdana" w:cs="Times New Roman"/>
          <w:b/>
          <w:bCs/>
          <w:sz w:val="18"/>
          <w:szCs w:val="18"/>
          <w:lang w:eastAsia="it-IT"/>
        </w:rPr>
        <w:t xml:space="preserve">Trasferimento delle competenze dalle Province ai </w:t>
      </w:r>
      <w:bookmarkEnd w:id="7"/>
      <w:r w:rsidRPr="00AA19E4">
        <w:rPr>
          <w:rFonts w:ascii="Verdana" w:eastAsia="Times New Roman" w:hAnsi="Verdana" w:cs="Times New Roman"/>
          <w:b/>
          <w:bCs/>
          <w:sz w:val="18"/>
          <w:lang w:eastAsia="it-IT"/>
        </w:rPr>
        <w:t>Comuni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Un altro importante aspetto, considerato dalla legge regionale n. 1/2004, è il trasferimento ai Comuni di tutte le competenze </w:t>
      </w:r>
      <w:r w:rsidRPr="00AA19E4">
        <w:rPr>
          <w:rFonts w:ascii="Verdana" w:eastAsia="Times New Roman" w:hAnsi="Verdana" w:cs="Times New Roman"/>
          <w:color w:val="000080"/>
          <w:sz w:val="18"/>
          <w:lang w:eastAsia="it-IT"/>
        </w:rPr>
        <w:t>assistenziali</w:t>
      </w:r>
      <w:r w:rsidRPr="00AA19E4">
        <w:rPr>
          <w:rFonts w:ascii="Verdana" w:eastAsia="Times New Roman" w:hAnsi="Verdana" w:cs="Times New Roman"/>
          <w:color w:val="000080"/>
          <w:sz w:val="18"/>
          <w:szCs w:val="18"/>
          <w:lang w:eastAsia="it-IT"/>
        </w:rPr>
        <w:t xml:space="preserve"> attualmente in carico alle Province (cfr. </w:t>
      </w:r>
      <w:r w:rsidRPr="00AA19E4">
        <w:rPr>
          <w:rFonts w:ascii="Verdana" w:eastAsia="Times New Roman" w:hAnsi="Verdana" w:cs="Times New Roman"/>
          <w:color w:val="000080"/>
          <w:sz w:val="18"/>
          <w:lang w:eastAsia="it-IT"/>
        </w:rPr>
        <w:t>articolo</w:t>
      </w:r>
      <w:r w:rsidRPr="00AA19E4">
        <w:rPr>
          <w:rFonts w:ascii="Verdana" w:eastAsia="Times New Roman" w:hAnsi="Verdana" w:cs="Times New Roman"/>
          <w:color w:val="000080"/>
          <w:sz w:val="18"/>
          <w:szCs w:val="18"/>
          <w:lang w:eastAsia="it-IT"/>
        </w:rPr>
        <w:t xml:space="preserve"> 5, commi 4, 5 </w:t>
      </w:r>
      <w:r w:rsidRPr="00AA19E4">
        <w:rPr>
          <w:rFonts w:ascii="Verdana" w:eastAsia="Times New Roman" w:hAnsi="Verdana" w:cs="Times New Roman"/>
          <w:color w:val="000080"/>
          <w:sz w:val="18"/>
          <w:szCs w:val="18"/>
          <w:lang w:eastAsia="it-IT"/>
        </w:rPr>
        <w:lastRenderedPageBreak/>
        <w:t xml:space="preserve">e 6) . Si tratta in particolare delle competenze </w:t>
      </w:r>
      <w:r w:rsidRPr="00AA19E4">
        <w:rPr>
          <w:rFonts w:ascii="Verdana" w:eastAsia="Times New Roman" w:hAnsi="Verdana" w:cs="Times New Roman"/>
          <w:color w:val="000080"/>
          <w:sz w:val="18"/>
          <w:lang w:eastAsia="it-IT"/>
        </w:rPr>
        <w:t>relative all’</w:t>
      </w:r>
      <w:r w:rsidRPr="00AA19E4">
        <w:rPr>
          <w:rFonts w:ascii="Verdana" w:eastAsia="Times New Roman" w:hAnsi="Verdana" w:cs="Times New Roman"/>
          <w:color w:val="000080"/>
          <w:sz w:val="18"/>
          <w:szCs w:val="18"/>
          <w:lang w:eastAsia="it-IT"/>
        </w:rPr>
        <w:t>assistenza ai nati fuori dal matrimonio, ai “</w:t>
      </w:r>
      <w:r w:rsidRPr="00AA19E4">
        <w:rPr>
          <w:rFonts w:ascii="Verdana" w:eastAsia="Times New Roman" w:hAnsi="Verdana" w:cs="Times New Roman"/>
          <w:i/>
          <w:iCs/>
          <w:color w:val="000080"/>
          <w:sz w:val="18"/>
          <w:szCs w:val="18"/>
          <w:lang w:eastAsia="it-IT"/>
        </w:rPr>
        <w:t>ciechi e sordi poveri rieducabili</w:t>
      </w:r>
      <w:r w:rsidRPr="00AA19E4">
        <w:rPr>
          <w:rFonts w:ascii="Verdana" w:eastAsia="Times New Roman" w:hAnsi="Verdana" w:cs="Times New Roman"/>
          <w:color w:val="000080"/>
          <w:sz w:val="18"/>
          <w:szCs w:val="18"/>
          <w:lang w:eastAsia="it-IT"/>
        </w:rPr>
        <w:t xml:space="preserve">” (così definiti dal regio decreto 383/1934) ed ai minori già di competenza dell’ex </w:t>
      </w:r>
      <w:proofErr w:type="spellStart"/>
      <w:r w:rsidRPr="00AA19E4">
        <w:rPr>
          <w:rFonts w:ascii="Verdana" w:eastAsia="Times New Roman" w:hAnsi="Verdana" w:cs="Times New Roman"/>
          <w:color w:val="000080"/>
          <w:sz w:val="18"/>
          <w:lang w:eastAsia="it-IT"/>
        </w:rPr>
        <w:t>Onmi</w:t>
      </w:r>
      <w:proofErr w:type="spellEnd"/>
      <w:r w:rsidRPr="00AA19E4">
        <w:rPr>
          <w:rFonts w:ascii="Verdana" w:eastAsia="Times New Roman" w:hAnsi="Verdana" w:cs="Times New Roman"/>
          <w:color w:val="000080"/>
          <w:sz w:val="18"/>
          <w:szCs w:val="18"/>
          <w:lang w:eastAsia="it-IT"/>
        </w:rPr>
        <w:t xml:space="preserve">, Opera nazionale per la protezione della maternità e dell’infanzia. Si mette in questo modo la parola fine ad un’odiosa discriminazione dell’intervento </w:t>
      </w:r>
      <w:r w:rsidRPr="00AA19E4">
        <w:rPr>
          <w:rFonts w:ascii="Verdana" w:eastAsia="Times New Roman" w:hAnsi="Verdana" w:cs="Times New Roman"/>
          <w:color w:val="000080"/>
          <w:sz w:val="18"/>
          <w:lang w:eastAsia="it-IT"/>
        </w:rPr>
        <w:t>assistenziale</w:t>
      </w:r>
      <w:r w:rsidRPr="00AA19E4">
        <w:rPr>
          <w:rFonts w:ascii="Verdana" w:eastAsia="Times New Roman" w:hAnsi="Verdana" w:cs="Times New Roman"/>
          <w:color w:val="000080"/>
          <w:sz w:val="18"/>
          <w:szCs w:val="18"/>
          <w:lang w:eastAsia="it-IT"/>
        </w:rPr>
        <w:t xml:space="preserve"> fra nati nel e fuori del matrimonio e fra i ciechi ed i sordomuti poveri rieducabili e gli altri soggetti con difficoltà visive o uditive ed alle situazioni di conflitto di competenza tra Province e Comuni.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Ai sensi del secondo comma dell’articolo 58 della legge in oggetto, la Giunta regionale deve adottare i provvedimenti necessari per definire le competenze </w:t>
      </w:r>
      <w:r w:rsidRPr="00AA19E4">
        <w:rPr>
          <w:rFonts w:ascii="Verdana" w:eastAsia="Times New Roman" w:hAnsi="Verdana" w:cs="Times New Roman"/>
          <w:color w:val="000080"/>
          <w:sz w:val="18"/>
          <w:lang w:eastAsia="it-IT"/>
        </w:rPr>
        <w:t>relative alle</w:t>
      </w:r>
      <w:r w:rsidRPr="00AA19E4">
        <w:rPr>
          <w:rFonts w:ascii="Verdana" w:eastAsia="Times New Roman" w:hAnsi="Verdana" w:cs="Times New Roman"/>
          <w:color w:val="000080"/>
          <w:sz w:val="18"/>
          <w:szCs w:val="18"/>
          <w:lang w:eastAsia="it-IT"/>
        </w:rPr>
        <w:t xml:space="preserve"> gestanti e madri in difficoltà ed agli interventi occorrenti per garantire il segreto del parto.</w:t>
      </w:r>
    </w:p>
    <w:p w:rsidR="00AA19E4" w:rsidRPr="00AA19E4" w:rsidRDefault="00AA19E4" w:rsidP="00AA19E4">
      <w:pPr>
        <w:spacing w:before="100" w:beforeAutospacing="1" w:after="100" w:afterAutospacing="1" w:line="240" w:lineRule="auto"/>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8" w:name="_Toc69616186"/>
      <w:r w:rsidRPr="00AA19E4">
        <w:rPr>
          <w:rFonts w:ascii="Verdana" w:eastAsia="Times New Roman" w:hAnsi="Verdana" w:cs="Times New Roman"/>
          <w:b/>
          <w:bCs/>
          <w:sz w:val="18"/>
          <w:szCs w:val="18"/>
          <w:lang w:eastAsia="it-IT"/>
        </w:rPr>
        <w:t>La copertura economica</w:t>
      </w:r>
      <w:bookmarkEnd w:id="8"/>
    </w:p>
    <w:p w:rsidR="00AA19E4" w:rsidRPr="00AA19E4" w:rsidRDefault="00AA19E4" w:rsidP="00AA19E4">
      <w:pPr>
        <w:spacing w:before="100" w:beforeAutospacing="1" w:after="100" w:afterAutospacing="1" w:line="240" w:lineRule="auto"/>
        <w:ind w:firstLine="3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 favore della copertura economica dei servizi e prestazioni, è previsto che i Comuni debbano garantire </w:t>
      </w:r>
      <w:r w:rsidRPr="00AA19E4">
        <w:rPr>
          <w:rFonts w:ascii="Verdana" w:eastAsia="Times New Roman" w:hAnsi="Verdana" w:cs="Times New Roman"/>
          <w:color w:val="000080"/>
          <w:sz w:val="18"/>
          <w:lang w:eastAsia="it-IT"/>
        </w:rPr>
        <w:t>le occorrenti risorse finanziarie</w:t>
      </w:r>
      <w:r w:rsidRPr="00AA19E4">
        <w:rPr>
          <w:rFonts w:ascii="Verdana" w:eastAsia="Times New Roman" w:hAnsi="Verdana" w:cs="Times New Roman"/>
          <w:color w:val="000080"/>
          <w:sz w:val="18"/>
          <w:szCs w:val="18"/>
          <w:lang w:eastAsia="it-IT"/>
        </w:rPr>
        <w:t>. Tali risorse, affiancandosi ai finanziamenti messi a disposizione dallo Stato, dalla Regione e dagli utenti, devono assicurare «</w:t>
      </w:r>
      <w:r w:rsidRPr="00AA19E4">
        <w:rPr>
          <w:rFonts w:ascii="Verdana" w:eastAsia="Times New Roman" w:hAnsi="Verdana" w:cs="Times New Roman"/>
          <w:i/>
          <w:iCs/>
          <w:color w:val="000080"/>
          <w:sz w:val="18"/>
          <w:szCs w:val="18"/>
          <w:lang w:eastAsia="it-IT"/>
        </w:rPr>
        <w:t xml:space="preserve">il raggiungimento di livelli </w:t>
      </w:r>
      <w:r w:rsidRPr="00AA19E4">
        <w:rPr>
          <w:rFonts w:ascii="Verdana" w:eastAsia="Times New Roman" w:hAnsi="Verdana" w:cs="Times New Roman"/>
          <w:i/>
          <w:iCs/>
          <w:color w:val="000080"/>
          <w:sz w:val="18"/>
          <w:lang w:eastAsia="it-IT"/>
        </w:rPr>
        <w:t xml:space="preserve">di </w:t>
      </w:r>
      <w:r w:rsidRPr="00AA19E4">
        <w:rPr>
          <w:rFonts w:ascii="Verdana" w:eastAsia="Times New Roman" w:hAnsi="Verdana" w:cs="Times New Roman"/>
          <w:i/>
          <w:iCs/>
          <w:color w:val="000080"/>
          <w:sz w:val="18"/>
          <w:szCs w:val="18"/>
          <w:lang w:eastAsia="it-IT"/>
        </w:rPr>
        <w:t>assistenza adeguati ai bisogni espressi dal proprio territorio</w:t>
      </w:r>
      <w:r w:rsidRPr="00AA19E4">
        <w:rPr>
          <w:rFonts w:ascii="Verdana" w:eastAsia="Times New Roman" w:hAnsi="Verdana" w:cs="Times New Roman"/>
          <w:color w:val="000080"/>
          <w:sz w:val="18"/>
          <w:szCs w:val="18"/>
          <w:lang w:eastAsia="it-IT"/>
        </w:rPr>
        <w:t xml:space="preserve">» (cfr. </w:t>
      </w:r>
      <w:r w:rsidRPr="00AA19E4">
        <w:rPr>
          <w:rFonts w:ascii="Verdana" w:eastAsia="Times New Roman" w:hAnsi="Verdana" w:cs="Times New Roman"/>
          <w:color w:val="000080"/>
          <w:sz w:val="18"/>
          <w:lang w:eastAsia="it-IT"/>
        </w:rPr>
        <w:t>l’</w:t>
      </w:r>
      <w:r w:rsidRPr="00AA19E4">
        <w:rPr>
          <w:rFonts w:ascii="Verdana" w:eastAsia="Times New Roman" w:hAnsi="Verdana" w:cs="Times New Roman"/>
          <w:color w:val="000080"/>
          <w:sz w:val="18"/>
          <w:szCs w:val="18"/>
          <w:lang w:eastAsia="it-IT"/>
        </w:rPr>
        <w:t>articolo 35).</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Inoltre – aspetto molto importante - è stabilito che i Comuni che partecipano alla gestione associata dei servizi (è il caso dei Consorzi) «</w:t>
      </w:r>
      <w:r w:rsidRPr="00AA19E4">
        <w:rPr>
          <w:rFonts w:ascii="Verdana" w:eastAsia="Times New Roman" w:hAnsi="Verdana" w:cs="Times New Roman"/>
          <w:i/>
          <w:iCs/>
          <w:color w:val="000080"/>
          <w:sz w:val="18"/>
          <w:szCs w:val="18"/>
          <w:lang w:eastAsia="it-IT"/>
        </w:rPr>
        <w:t xml:space="preserve">sono tenuti ad iscrivere nel proprio bilancio le quote di finanziamento stabilite dall’organo associativo competente e ad operare i relativi trasferimenti in termini di cassa alle </w:t>
      </w:r>
      <w:r w:rsidRPr="00AA19E4">
        <w:rPr>
          <w:rFonts w:ascii="Verdana" w:eastAsia="Times New Roman" w:hAnsi="Verdana" w:cs="Times New Roman"/>
          <w:i/>
          <w:iCs/>
          <w:color w:val="000080"/>
          <w:sz w:val="18"/>
          <w:lang w:eastAsia="it-IT"/>
        </w:rPr>
        <w:t>scadenze</w:t>
      </w:r>
      <w:r w:rsidRPr="00AA19E4">
        <w:rPr>
          <w:rFonts w:ascii="Verdana" w:eastAsia="Times New Roman" w:hAnsi="Verdana" w:cs="Times New Roman"/>
          <w:i/>
          <w:iCs/>
          <w:color w:val="000080"/>
          <w:sz w:val="18"/>
          <w:szCs w:val="18"/>
          <w:lang w:eastAsia="it-IT"/>
        </w:rPr>
        <w:t xml:space="preserve"> previste dagli enti gestori istituzionali</w:t>
      </w:r>
      <w:r w:rsidRPr="00AA19E4">
        <w:rPr>
          <w:rFonts w:ascii="Verdana" w:eastAsia="Times New Roman" w:hAnsi="Verdana" w:cs="Times New Roman"/>
          <w:color w:val="000080"/>
          <w:sz w:val="18"/>
          <w:szCs w:val="18"/>
          <w:lang w:eastAsia="it-IT"/>
        </w:rPr>
        <w:t xml:space="preserve"> ».</w:t>
      </w:r>
    </w:p>
    <w:p w:rsidR="00AA19E4" w:rsidRPr="00AA19E4" w:rsidRDefault="00AA19E4" w:rsidP="00AA19E4">
      <w:pPr>
        <w:spacing w:before="100" w:beforeAutospacing="1" w:after="100" w:afterAutospacing="1" w:line="240" w:lineRule="auto"/>
        <w:ind w:right="5" w:firstLine="460"/>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Quanto sopra costituisce un rilevante miglioramento rispetto alle disposizioni previste dalla legge 328/2000 che, come si sa, limita gli interventi e le prestazioni sociali, comprese </w:t>
      </w:r>
      <w:r w:rsidRPr="00AA19E4">
        <w:rPr>
          <w:rFonts w:ascii="Verdana" w:eastAsia="Times New Roman" w:hAnsi="Verdana" w:cs="Times New Roman"/>
          <w:color w:val="000080"/>
          <w:sz w:val="18"/>
          <w:lang w:eastAsia="it-IT"/>
        </w:rPr>
        <w:t>quelle essenziali</w:t>
      </w:r>
      <w:r w:rsidRPr="00AA19E4">
        <w:rPr>
          <w:rFonts w:ascii="Verdana" w:eastAsia="Times New Roman" w:hAnsi="Verdana" w:cs="Times New Roman"/>
          <w:color w:val="000080"/>
          <w:sz w:val="18"/>
          <w:szCs w:val="18"/>
          <w:lang w:eastAsia="it-IT"/>
        </w:rPr>
        <w:t>, nell’ambito delle risorse disponibili.</w:t>
      </w:r>
    </w:p>
    <w:p w:rsidR="00AA19E4" w:rsidRPr="00AA19E4" w:rsidRDefault="00AA19E4" w:rsidP="00AA19E4">
      <w:pPr>
        <w:spacing w:before="100" w:beforeAutospacing="1" w:after="100" w:afterAutospacing="1" w:line="240" w:lineRule="auto"/>
        <w:ind w:right="2076"/>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9" w:name="_Toc69616188"/>
      <w:r w:rsidRPr="00AA19E4">
        <w:rPr>
          <w:rFonts w:ascii="Verdana" w:eastAsia="Times New Roman" w:hAnsi="Verdana" w:cs="Times New Roman"/>
          <w:b/>
          <w:bCs/>
          <w:sz w:val="18"/>
          <w:szCs w:val="18"/>
          <w:lang w:eastAsia="it-IT"/>
        </w:rPr>
        <w:t xml:space="preserve">Contribuzioni economiche a carico degli </w:t>
      </w:r>
      <w:bookmarkEnd w:id="9"/>
      <w:r w:rsidRPr="00AA19E4">
        <w:rPr>
          <w:rFonts w:ascii="Verdana" w:eastAsia="Times New Roman" w:hAnsi="Verdana" w:cs="Times New Roman"/>
          <w:b/>
          <w:bCs/>
          <w:sz w:val="18"/>
          <w:lang w:eastAsia="it-IT"/>
        </w:rPr>
        <w:t>utenti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Sulla compartecipazione al costo delle prestazioni, oggi sono assai chiare le disposizioni normative in merito alle quali non </w:t>
      </w:r>
      <w:r w:rsidRPr="00AA19E4">
        <w:rPr>
          <w:rFonts w:ascii="Verdana" w:eastAsia="Times New Roman" w:hAnsi="Verdana" w:cs="Times New Roman"/>
          <w:color w:val="000080"/>
          <w:sz w:val="18"/>
          <w:lang w:eastAsia="it-IT"/>
        </w:rPr>
        <w:t>è</w:t>
      </w:r>
      <w:r w:rsidRPr="00AA19E4">
        <w:rPr>
          <w:rFonts w:ascii="Verdana" w:eastAsia="Times New Roman" w:hAnsi="Verdana" w:cs="Times New Roman"/>
          <w:color w:val="000080"/>
          <w:sz w:val="18"/>
          <w:szCs w:val="18"/>
          <w:lang w:eastAsia="it-IT"/>
        </w:rPr>
        <w:t xml:space="preserve"> dato agli enti pubblici di pretendere contributi economici dai congiunti non conviventi con gli assistiti, nonché dai parenti, anche se conviventi, dei soggetti maggiorenni con handicap in situazione di gravità e degli </w:t>
      </w:r>
      <w:proofErr w:type="spellStart"/>
      <w:r w:rsidRPr="00AA19E4">
        <w:rPr>
          <w:rFonts w:ascii="Verdana" w:eastAsia="Times New Roman" w:hAnsi="Verdana" w:cs="Times New Roman"/>
          <w:color w:val="000080"/>
          <w:sz w:val="18"/>
          <w:szCs w:val="18"/>
          <w:lang w:eastAsia="it-IT"/>
        </w:rPr>
        <w:t>ultra-sessantacinquenni</w:t>
      </w:r>
      <w:proofErr w:type="spellEnd"/>
      <w:r w:rsidRPr="00AA19E4">
        <w:rPr>
          <w:rFonts w:ascii="Verdana" w:eastAsia="Times New Roman" w:hAnsi="Verdana" w:cs="Times New Roman"/>
          <w:color w:val="000080"/>
          <w:sz w:val="18"/>
          <w:szCs w:val="18"/>
          <w:lang w:eastAsia="it-IT"/>
        </w:rPr>
        <w:t xml:space="preserve"> non autosufficienti.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Purtroppo, però, le suddette disposizioni, tranne lodevoli eccezioni (per esempio il Comune di Torino e diversi Enti locali della prima e seconda cintura del capoluogo piemontese), sono disattese dalla maggior parte dei Comuni della Regione Piemonte </w:t>
      </w:r>
      <w:r w:rsidRPr="00AA19E4">
        <w:rPr>
          <w:rFonts w:ascii="Verdana" w:eastAsia="Times New Roman" w:hAnsi="Verdana" w:cs="Times New Roman"/>
          <w:color w:val="000080"/>
          <w:sz w:val="18"/>
          <w:lang w:eastAsia="it-IT"/>
        </w:rPr>
        <w:t>nonché</w:t>
      </w:r>
      <w:r w:rsidRPr="00AA19E4">
        <w:rPr>
          <w:rFonts w:ascii="Verdana" w:eastAsia="Times New Roman" w:hAnsi="Verdana" w:cs="Times New Roman"/>
          <w:color w:val="000080"/>
          <w:sz w:val="18"/>
          <w:szCs w:val="18"/>
          <w:lang w:eastAsia="it-IT"/>
        </w:rPr>
        <w:t xml:space="preserve"> dell’intero territorio nazionale.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legge regionale 1/2004, pur citando i decreti legislativi 109/1998 e 130/2000, dà facoltà alla Giunta regionale di introdurre strumenti diversi da quelli previsti dalle sopra citate norme nazionali. Anche se non soprattutto a causa del rischio che la Regione Piemonte </w:t>
      </w:r>
      <w:r w:rsidRPr="00AA19E4">
        <w:rPr>
          <w:rFonts w:ascii="Verdana" w:eastAsia="Times New Roman" w:hAnsi="Verdana" w:cs="Times New Roman"/>
          <w:color w:val="000080"/>
          <w:sz w:val="18"/>
          <w:lang w:eastAsia="it-IT"/>
        </w:rPr>
        <w:t>assuma</w:t>
      </w:r>
      <w:r w:rsidRPr="00AA19E4">
        <w:rPr>
          <w:rFonts w:ascii="Verdana" w:eastAsia="Times New Roman" w:hAnsi="Verdana" w:cs="Times New Roman"/>
          <w:color w:val="000080"/>
          <w:sz w:val="18"/>
          <w:szCs w:val="18"/>
          <w:lang w:eastAsia="it-IT"/>
        </w:rPr>
        <w:t xml:space="preserve"> iniziative contrastanti con le attuali leggi dello Stato, è stata avviata la seconda petizione popolare sui contributi economici.</w:t>
      </w:r>
    </w:p>
    <w:p w:rsidR="00AA19E4" w:rsidRPr="00AA19E4" w:rsidRDefault="00AA19E4" w:rsidP="00AA19E4">
      <w:pPr>
        <w:spacing w:before="100" w:beforeAutospacing="1" w:after="100" w:afterAutospacing="1" w:line="240" w:lineRule="auto"/>
        <w:ind w:right="2076"/>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w:t>
      </w:r>
    </w:p>
    <w:p w:rsidR="00AA19E4" w:rsidRPr="00AA19E4" w:rsidRDefault="00AA19E4" w:rsidP="00AA19E4">
      <w:pPr>
        <w:spacing w:after="0" w:line="240" w:lineRule="auto"/>
        <w:outlineLvl w:val="1"/>
        <w:rPr>
          <w:rFonts w:ascii="Times New Roman" w:eastAsia="Times New Roman" w:hAnsi="Times New Roman" w:cs="Times New Roman"/>
          <w:b/>
          <w:bCs/>
          <w:sz w:val="36"/>
          <w:szCs w:val="36"/>
          <w:lang w:eastAsia="it-IT"/>
        </w:rPr>
      </w:pPr>
      <w:bookmarkStart w:id="10" w:name="_Toc69616189"/>
      <w:r w:rsidRPr="00AA19E4">
        <w:rPr>
          <w:rFonts w:ascii="Verdana" w:eastAsia="Times New Roman" w:hAnsi="Verdana" w:cs="Times New Roman"/>
          <w:b/>
          <w:bCs/>
          <w:sz w:val="18"/>
          <w:szCs w:val="18"/>
          <w:lang w:eastAsia="it-IT"/>
        </w:rPr>
        <w:t>L’</w:t>
      </w:r>
      <w:bookmarkEnd w:id="10"/>
      <w:r w:rsidRPr="00AA19E4">
        <w:rPr>
          <w:rFonts w:ascii="Verdana" w:eastAsia="Times New Roman" w:hAnsi="Verdana" w:cs="Times New Roman"/>
          <w:b/>
          <w:bCs/>
          <w:sz w:val="18"/>
          <w:lang w:eastAsia="it-IT"/>
        </w:rPr>
        <w:t>istituzionalizzazione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Un aspetto critico della nuova legge regionale è anche l’assenza di un programma volto al superamento dell'</w:t>
      </w:r>
      <w:r w:rsidRPr="00AA19E4">
        <w:rPr>
          <w:rFonts w:ascii="Verdana" w:eastAsia="Times New Roman" w:hAnsi="Verdana" w:cs="Times New Roman"/>
          <w:color w:val="000080"/>
          <w:sz w:val="18"/>
          <w:lang w:eastAsia="it-IT"/>
        </w:rPr>
        <w:t>istituzionalizzazione</w:t>
      </w:r>
      <w:r w:rsidRPr="00AA19E4">
        <w:rPr>
          <w:rFonts w:ascii="Verdana" w:eastAsia="Times New Roman" w:hAnsi="Verdana" w:cs="Times New Roman"/>
          <w:color w:val="000080"/>
          <w:sz w:val="18"/>
          <w:szCs w:val="18"/>
          <w:lang w:eastAsia="it-IT"/>
        </w:rPr>
        <w:t xml:space="preserve">.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Anzi, per le strutture </w:t>
      </w:r>
      <w:r w:rsidRPr="00AA19E4">
        <w:rPr>
          <w:rFonts w:ascii="Verdana" w:eastAsia="Times New Roman" w:hAnsi="Verdana" w:cs="Times New Roman"/>
          <w:color w:val="000080"/>
          <w:sz w:val="18"/>
          <w:lang w:eastAsia="it-IT"/>
        </w:rPr>
        <w:t>assistenziali</w:t>
      </w:r>
      <w:r w:rsidRPr="00AA19E4">
        <w:rPr>
          <w:rFonts w:ascii="Verdana" w:eastAsia="Times New Roman" w:hAnsi="Verdana" w:cs="Times New Roman"/>
          <w:color w:val="000080"/>
          <w:sz w:val="18"/>
          <w:szCs w:val="18"/>
          <w:lang w:eastAsia="it-IT"/>
        </w:rPr>
        <w:t xml:space="preserve"> residenziali non sono neppure previsti standard migliorativi (per esempio dal punto di vista della loro capienza) rispetto a quelli stabiliti dalla normativa statale in materia.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Ricordiamo che per i disabili il decreto ministeriale del 21 maggio 2001, n. 308 prevede strutture con capienza sino a 20 posti letto e, soprattutto, non vieta gli </w:t>
      </w:r>
      <w:r w:rsidRPr="00AA19E4">
        <w:rPr>
          <w:rFonts w:ascii="Verdana" w:eastAsia="Times New Roman" w:hAnsi="Verdana" w:cs="Times New Roman"/>
          <w:color w:val="000080"/>
          <w:sz w:val="18"/>
          <w:lang w:eastAsia="it-IT"/>
        </w:rPr>
        <w:t>accorpamenti</w:t>
      </w:r>
      <w:r w:rsidRPr="00AA19E4">
        <w:rPr>
          <w:rFonts w:ascii="Verdana" w:eastAsia="Times New Roman" w:hAnsi="Verdana" w:cs="Times New Roman"/>
          <w:color w:val="000080"/>
          <w:sz w:val="18"/>
          <w:szCs w:val="18"/>
          <w:lang w:eastAsia="it-IT"/>
        </w:rPr>
        <w:t xml:space="preserve"> di più strutture. Con ciò gli </w:t>
      </w:r>
      <w:r w:rsidRPr="00AA19E4">
        <w:rPr>
          <w:rFonts w:ascii="Verdana" w:eastAsia="Times New Roman" w:hAnsi="Verdana" w:cs="Times New Roman"/>
          <w:color w:val="000080"/>
          <w:sz w:val="18"/>
          <w:szCs w:val="18"/>
          <w:lang w:eastAsia="it-IT"/>
        </w:rPr>
        <w:lastRenderedPageBreak/>
        <w:t>istituti potranno continuare ad esistere purché stabiliscano una suddivisione interna in gruppi aventi non più di 20 posti letto.</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legge regionale 1/2004 rimanda ad una disposizione della Giunta per classificare le strutture residenziali e semiresidenziali ed individuarne i requisiti strutturali, senza porre a livello di legge alcuno standard migliorativo rispetto ai livelli nazionali (cfr. </w:t>
      </w:r>
      <w:r w:rsidRPr="00AA19E4">
        <w:rPr>
          <w:rFonts w:ascii="Verdana" w:eastAsia="Times New Roman" w:hAnsi="Verdana" w:cs="Times New Roman"/>
          <w:color w:val="000080"/>
          <w:sz w:val="18"/>
          <w:lang w:eastAsia="it-IT"/>
        </w:rPr>
        <w:t>a</w:t>
      </w:r>
      <w:r w:rsidRPr="00AA19E4">
        <w:rPr>
          <w:rFonts w:ascii="Verdana" w:eastAsia="Times New Roman" w:hAnsi="Verdana" w:cs="Times New Roman"/>
          <w:color w:val="000080"/>
          <w:sz w:val="18"/>
          <w:szCs w:val="18"/>
          <w:lang w:eastAsia="it-IT"/>
        </w:rPr>
        <w:t>rticolo 37).</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È inoltre attribuita alla Giunta regionale «</w:t>
      </w:r>
      <w:r w:rsidRPr="00AA19E4">
        <w:rPr>
          <w:rFonts w:ascii="Verdana" w:eastAsia="Times New Roman" w:hAnsi="Verdana" w:cs="Times New Roman"/>
          <w:i/>
          <w:iCs/>
          <w:color w:val="000080"/>
          <w:sz w:val="18"/>
          <w:szCs w:val="18"/>
          <w:lang w:eastAsia="it-IT"/>
        </w:rPr>
        <w:t xml:space="preserve">la facoltà di individuare uno specifico regime </w:t>
      </w:r>
      <w:r w:rsidRPr="00AA19E4">
        <w:rPr>
          <w:rFonts w:ascii="Verdana" w:eastAsia="Times New Roman" w:hAnsi="Verdana" w:cs="Times New Roman"/>
          <w:i/>
          <w:iCs/>
          <w:color w:val="000080"/>
          <w:sz w:val="18"/>
          <w:lang w:eastAsia="it-IT"/>
        </w:rPr>
        <w:t>in ordine ai</w:t>
      </w:r>
      <w:r w:rsidRPr="00AA19E4">
        <w:rPr>
          <w:rFonts w:ascii="Verdana" w:eastAsia="Times New Roman" w:hAnsi="Verdana" w:cs="Times New Roman"/>
          <w:i/>
          <w:iCs/>
          <w:color w:val="000080"/>
          <w:sz w:val="18"/>
          <w:szCs w:val="18"/>
          <w:lang w:eastAsia="it-IT"/>
        </w:rPr>
        <w:t xml:space="preserve"> tempi e alle modalità di adeguamento di strutture esistenti gestite da soggetti senza fini di lucro caratterizzate da una dimensione rilevante, da modalità organizzative adeguate ad una ottimale risposta ai bisogni di particolari tipologie di utenza e comprovate dal ruolo storico che tali soggetti hanno svolto nel tempo</w:t>
      </w:r>
      <w:r w:rsidRPr="00AA19E4">
        <w:rPr>
          <w:rFonts w:ascii="Verdana" w:eastAsia="Times New Roman" w:hAnsi="Verdana" w:cs="Times New Roman"/>
          <w:color w:val="000080"/>
          <w:sz w:val="18"/>
          <w:szCs w:val="18"/>
          <w:lang w:eastAsia="it-IT"/>
        </w:rPr>
        <w:t>».</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Appare pertanto </w:t>
      </w:r>
      <w:r w:rsidRPr="00AA19E4">
        <w:rPr>
          <w:rFonts w:ascii="Verdana" w:eastAsia="Times New Roman" w:hAnsi="Verdana" w:cs="Times New Roman"/>
          <w:color w:val="000080"/>
          <w:sz w:val="18"/>
          <w:lang w:eastAsia="it-IT"/>
        </w:rPr>
        <w:t>rivolta dalla legge regionale 1/2004</w:t>
      </w:r>
      <w:r w:rsidRPr="00AA19E4">
        <w:rPr>
          <w:rFonts w:ascii="Verdana" w:eastAsia="Times New Roman" w:hAnsi="Verdana" w:cs="Times New Roman"/>
          <w:color w:val="000080"/>
          <w:sz w:val="18"/>
          <w:szCs w:val="18"/>
          <w:lang w:eastAsia="it-IT"/>
        </w:rPr>
        <w:t xml:space="preserve"> un’attenzione particolare alle esigenze proprie delle strutture anche se di grosse dimensioni invece che ai loro utenti.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Ciò è assai sconfortante e lascia pure poche speranze </w:t>
      </w:r>
      <w:r w:rsidRPr="00AA19E4">
        <w:rPr>
          <w:rFonts w:ascii="Verdana" w:eastAsia="Times New Roman" w:hAnsi="Verdana" w:cs="Times New Roman"/>
          <w:color w:val="000080"/>
          <w:sz w:val="18"/>
          <w:lang w:eastAsia="it-IT"/>
        </w:rPr>
        <w:t>in</w:t>
      </w:r>
      <w:r w:rsidRPr="00AA19E4">
        <w:rPr>
          <w:rFonts w:ascii="Verdana" w:eastAsia="Times New Roman" w:hAnsi="Verdana" w:cs="Times New Roman"/>
          <w:color w:val="000080"/>
          <w:sz w:val="18"/>
          <w:szCs w:val="18"/>
          <w:lang w:eastAsia="it-IT"/>
        </w:rPr>
        <w:t xml:space="preserve"> riferimento ad una reale volontà di predisporre iniziative valide per la prevenzione dell’istituzionalizzazione.</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Times New Roman" w:eastAsia="Times New Roman" w:hAnsi="Times New Roman" w:cs="Times New Roman"/>
          <w:sz w:val="24"/>
          <w:szCs w:val="24"/>
          <w:lang w:eastAsia="it-IT"/>
        </w:rPr>
        <w:t> </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b/>
          <w:bCs/>
          <w:color w:val="000080"/>
          <w:sz w:val="18"/>
          <w:szCs w:val="18"/>
          <w:lang w:eastAsia="it-IT"/>
        </w:rPr>
        <w:t>Conclusioni</w:t>
      </w:r>
    </w:p>
    <w:p w:rsidR="00AA19E4" w:rsidRPr="00AA19E4" w:rsidRDefault="00AA19E4" w:rsidP="00AA19E4">
      <w:pPr>
        <w:spacing w:before="100" w:beforeAutospacing="1" w:after="100" w:afterAutospacing="1" w:line="240" w:lineRule="auto"/>
        <w:ind w:right="5" w:firstLine="462"/>
        <w:jc w:val="both"/>
        <w:rPr>
          <w:rFonts w:ascii="Times New Roman" w:eastAsia="Times New Roman" w:hAnsi="Times New Roman" w:cs="Times New Roman"/>
          <w:sz w:val="24"/>
          <w:szCs w:val="24"/>
          <w:lang w:eastAsia="it-IT"/>
        </w:rPr>
      </w:pPr>
      <w:r w:rsidRPr="00AA19E4">
        <w:rPr>
          <w:rFonts w:ascii="Verdana" w:eastAsia="Times New Roman" w:hAnsi="Verdana" w:cs="Times New Roman"/>
          <w:color w:val="000080"/>
          <w:sz w:val="18"/>
          <w:szCs w:val="18"/>
          <w:lang w:eastAsia="it-IT"/>
        </w:rPr>
        <w:t xml:space="preserve">La legge regionale 1/2004 è una legge con ombre e luci. Ha sicuramente un aspetto positivo importante: riconosce in maniera chiara diritti esigibili per alcune fasce più deboli della popolazione. A favore di questo aspetto attribuisce ai Comuni le relative funzioni trasferendo loro tutte le competenze assistenziali; e stabilisce che essi debbano garantire il soddisfacimento dei bisogni dei cittadini in stato di difficoltà socio-economiche, prevedendo lo stanziamento delle specifiche risorse in aggiunta a quelle già regolate dallo Stato, dalla Regione, ecc., nonché concorse dagli utenti. Su quest’ultimo particolare, ovvero in merito alla contribuzione economica del destinatario dei servizi, desta però un certo allarme la possibilità che la Regione Piemonte si è attribuita nel disporre indicazioni diverse, e quindi peggiorative lato utente, rispetto a ciò che è rettamente </w:t>
      </w:r>
      <w:proofErr w:type="spellStart"/>
      <w:r w:rsidRPr="00AA19E4">
        <w:rPr>
          <w:rFonts w:ascii="Verdana" w:eastAsia="Times New Roman" w:hAnsi="Verdana" w:cs="Times New Roman"/>
          <w:color w:val="000080"/>
          <w:sz w:val="18"/>
          <w:szCs w:val="18"/>
          <w:lang w:eastAsia="it-IT"/>
        </w:rPr>
        <w:t>stabilitodai</w:t>
      </w:r>
      <w:proofErr w:type="spellEnd"/>
      <w:r w:rsidRPr="00AA19E4">
        <w:rPr>
          <w:rFonts w:ascii="Verdana" w:eastAsia="Times New Roman" w:hAnsi="Verdana" w:cs="Times New Roman"/>
          <w:color w:val="000080"/>
          <w:sz w:val="18"/>
          <w:szCs w:val="18"/>
          <w:lang w:eastAsia="it-IT"/>
        </w:rPr>
        <w:t xml:space="preserve"> decreti 109/1998 e 130/2000. La legge regionale 1/2004 non prevede inoltre disposizioni a favore di una vera prevenzione dell’emarginazione sociale. Questo aspetto, assieme alla mancanza di norme per il reale superamento dell’istituzionalizzazione delle persone deboli, nasconde il pericolo, a nostro avviso, di un approccio volto alla gestione ed al controllo dell’emarginazione sociale anziché al suo superamento. Le prestazioni ad integrazione socio-sanitaria, trovano poi una collocazione normativa un po’ intricata; è ciò lascia prevedere difficoltà nell’esigibilità delle stesse. </w:t>
      </w:r>
    </w:p>
    <w:p w:rsidR="00AA19E4" w:rsidRPr="00AA19E4" w:rsidRDefault="00AA19E4" w:rsidP="00AA19E4">
      <w:pPr>
        <w:spacing w:before="100" w:beforeAutospacing="1" w:after="100" w:afterAutospacing="1" w:line="240" w:lineRule="auto"/>
        <w:ind w:right="5" w:firstLine="462"/>
        <w:rPr>
          <w:rFonts w:ascii="Times New Roman" w:eastAsia="Times New Roman" w:hAnsi="Times New Roman" w:cs="Times New Roman"/>
          <w:sz w:val="24"/>
          <w:szCs w:val="24"/>
          <w:lang w:eastAsia="it-IT"/>
        </w:rPr>
      </w:pPr>
      <w:hyperlink r:id="rId4" w:history="1">
        <w:r w:rsidRPr="00AA19E4">
          <w:rPr>
            <w:rFonts w:ascii="Arial" w:eastAsia="Times New Roman" w:hAnsi="Arial" w:cs="Arial"/>
            <w:color w:val="0000FF"/>
            <w:sz w:val="20"/>
            <w:u w:val="single"/>
            <w:lang w:eastAsia="it-IT"/>
          </w:rPr>
          <w:t>www.tutori.it</w:t>
        </w:r>
      </w:hyperlink>
    </w:p>
    <w:p w:rsidR="006200A5" w:rsidRDefault="006200A5"/>
    <w:sectPr w:rsidR="006200A5" w:rsidSect="006200A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A19E4"/>
    <w:rsid w:val="006200A5"/>
    <w:rsid w:val="00AA19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00A5"/>
  </w:style>
  <w:style w:type="paragraph" w:styleId="Titolo2">
    <w:name w:val="heading 2"/>
    <w:basedOn w:val="Normale"/>
    <w:link w:val="Titolo2Carattere"/>
    <w:uiPriority w:val="9"/>
    <w:qFormat/>
    <w:rsid w:val="00AA19E4"/>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4">
    <w:name w:val="heading 4"/>
    <w:basedOn w:val="Normale"/>
    <w:link w:val="Titolo4Carattere"/>
    <w:uiPriority w:val="9"/>
    <w:qFormat/>
    <w:rsid w:val="00AA19E4"/>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A19E4"/>
    <w:rPr>
      <w:rFonts w:ascii="Times New Roman" w:eastAsia="Times New Roman" w:hAnsi="Times New Roman" w:cs="Times New Roman"/>
      <w:b/>
      <w:bCs/>
      <w:sz w:val="36"/>
      <w:szCs w:val="36"/>
      <w:lang w:eastAsia="it-IT"/>
    </w:rPr>
  </w:style>
  <w:style w:type="character" w:customStyle="1" w:styleId="Titolo4Carattere">
    <w:name w:val="Titolo 4 Carattere"/>
    <w:basedOn w:val="Carpredefinitoparagrafo"/>
    <w:link w:val="Titolo4"/>
    <w:uiPriority w:val="9"/>
    <w:rsid w:val="00AA19E4"/>
    <w:rPr>
      <w:rFonts w:ascii="Times New Roman" w:eastAsia="Times New Roman" w:hAnsi="Times New Roman" w:cs="Times New Roman"/>
      <w:b/>
      <w:bCs/>
      <w:sz w:val="24"/>
      <w:szCs w:val="24"/>
      <w:lang w:eastAsia="it-IT"/>
    </w:rPr>
  </w:style>
  <w:style w:type="character" w:customStyle="1" w:styleId="grame">
    <w:name w:val="grame"/>
    <w:basedOn w:val="Carpredefinitoparagrafo"/>
    <w:rsid w:val="00AA19E4"/>
  </w:style>
  <w:style w:type="paragraph" w:styleId="Rientrocorpodeltesto2">
    <w:name w:val="Body Text Indent 2"/>
    <w:basedOn w:val="Normale"/>
    <w:link w:val="Rientrocorpodeltesto2Carattere"/>
    <w:uiPriority w:val="99"/>
    <w:semiHidden/>
    <w:unhideWhenUsed/>
    <w:rsid w:val="00AA19E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uiPriority w:val="99"/>
    <w:semiHidden/>
    <w:rsid w:val="00AA19E4"/>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uiPriority w:val="99"/>
    <w:semiHidden/>
    <w:unhideWhenUsed/>
    <w:rsid w:val="00AA19E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Rientrocorpodeltesto3Carattere">
    <w:name w:val="Rientro corpo del testo 3 Carattere"/>
    <w:basedOn w:val="Carpredefinitoparagrafo"/>
    <w:link w:val="Rientrocorpodeltesto3"/>
    <w:uiPriority w:val="99"/>
    <w:semiHidden/>
    <w:rsid w:val="00AA19E4"/>
    <w:rPr>
      <w:rFonts w:ascii="Times New Roman" w:eastAsia="Times New Roman" w:hAnsi="Times New Roman" w:cs="Times New Roman"/>
      <w:sz w:val="24"/>
      <w:szCs w:val="24"/>
      <w:lang w:eastAsia="it-IT"/>
    </w:rPr>
  </w:style>
  <w:style w:type="character" w:customStyle="1" w:styleId="spelle">
    <w:name w:val="spelle"/>
    <w:basedOn w:val="Carpredefinitoparagrafo"/>
    <w:rsid w:val="00AA19E4"/>
  </w:style>
  <w:style w:type="paragraph" w:styleId="Rientrocorpodeltesto">
    <w:name w:val="Body Text Indent"/>
    <w:basedOn w:val="Normale"/>
    <w:link w:val="RientrocorpodeltestoCarattere"/>
    <w:uiPriority w:val="99"/>
    <w:semiHidden/>
    <w:unhideWhenUsed/>
    <w:rsid w:val="00AA19E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RientrocorpodeltestoCarattere">
    <w:name w:val="Rientro corpo del testo Carattere"/>
    <w:basedOn w:val="Carpredefinitoparagrafo"/>
    <w:link w:val="Rientrocorpodeltesto"/>
    <w:uiPriority w:val="99"/>
    <w:semiHidden/>
    <w:rsid w:val="00AA19E4"/>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AA19E4"/>
    <w:rPr>
      <w:color w:val="0000FF"/>
      <w:u w:val="single"/>
    </w:rPr>
  </w:style>
</w:styles>
</file>

<file path=word/webSettings.xml><?xml version="1.0" encoding="utf-8"?>
<w:webSettings xmlns:r="http://schemas.openxmlformats.org/officeDocument/2006/relationships" xmlns:w="http://schemas.openxmlformats.org/wordprocessingml/2006/main">
  <w:divs>
    <w:div w:id="867183914">
      <w:bodyDiv w:val="1"/>
      <w:marLeft w:val="0"/>
      <w:marRight w:val="0"/>
      <w:marTop w:val="0"/>
      <w:marBottom w:val="0"/>
      <w:divBdr>
        <w:top w:val="none" w:sz="0" w:space="0" w:color="auto"/>
        <w:left w:val="none" w:sz="0" w:space="0" w:color="auto"/>
        <w:bottom w:val="none" w:sz="0" w:space="0" w:color="auto"/>
        <w:right w:val="none" w:sz="0" w:space="0" w:color="auto"/>
      </w:divBdr>
      <w:divsChild>
        <w:div w:id="1685588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3241</Words>
  <Characters>18480</Characters>
  <Application>Microsoft Office Word</Application>
  <DocSecurity>0</DocSecurity>
  <Lines>154</Lines>
  <Paragraphs>43</Paragraphs>
  <ScaleCrop>false</ScaleCrop>
  <Company> </Company>
  <LinksUpToDate>false</LinksUpToDate>
  <CharactersWithSpaces>21678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2008-09-01T18:27:00Z</dcterms:created>
  <dcterms:modified xsi:type="dcterms:W3CDTF">2008-09-01T18:27:00Z</dcterms:modified>
</cp:coreProperties>
</file>